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3B" w:rsidRDefault="00A3493B" w:rsidP="00A3493B">
      <w:pPr>
        <w:pStyle w:val="NoSpacing"/>
        <w:rPr>
          <w:rFonts w:asciiTheme="majorHAnsi" w:hAnsiTheme="majorHAnsi"/>
          <w:sz w:val="36"/>
          <w:szCs w:val="36"/>
        </w:rPr>
      </w:pPr>
      <w:r w:rsidRPr="00A3493B">
        <w:rPr>
          <w:rFonts w:asciiTheme="majorHAnsi" w:hAnsiTheme="majorHAnsi"/>
          <w:sz w:val="36"/>
          <w:szCs w:val="36"/>
        </w:rPr>
        <w:t xml:space="preserve">Management Plan </w:t>
      </w:r>
    </w:p>
    <w:p w:rsidR="00A3493B" w:rsidRDefault="00A3493B" w:rsidP="00A3493B">
      <w:pPr>
        <w:pStyle w:val="NoSpacing"/>
        <w:rPr>
          <w:rFonts w:asciiTheme="majorHAnsi" w:hAnsiTheme="majorHAnsi"/>
          <w:sz w:val="36"/>
          <w:szCs w:val="36"/>
        </w:rPr>
      </w:pPr>
      <w:r w:rsidRPr="00A3493B">
        <w:rPr>
          <w:rFonts w:asciiTheme="majorHAnsi" w:hAnsiTheme="majorHAnsi"/>
          <w:sz w:val="36"/>
          <w:szCs w:val="36"/>
        </w:rPr>
        <w:t xml:space="preserve">Copper Mountain Wind </w:t>
      </w:r>
      <w:r w:rsidR="00181C2E">
        <w:rPr>
          <w:rFonts w:asciiTheme="majorHAnsi" w:hAnsiTheme="majorHAnsi"/>
          <w:sz w:val="36"/>
          <w:szCs w:val="36"/>
        </w:rPr>
        <w:t>Project</w:t>
      </w:r>
      <w:r w:rsidR="00181C2E" w:rsidRPr="00A3493B">
        <w:rPr>
          <w:rFonts w:asciiTheme="majorHAnsi" w:hAnsiTheme="majorHAnsi"/>
          <w:sz w:val="36"/>
          <w:szCs w:val="36"/>
        </w:rPr>
        <w:t xml:space="preserve"> </w:t>
      </w:r>
    </w:p>
    <w:p w:rsidR="00A3493B" w:rsidRDefault="00A3493B" w:rsidP="00A3493B">
      <w:pPr>
        <w:pStyle w:val="NoSpacing"/>
        <w:rPr>
          <w:rFonts w:asciiTheme="majorHAnsi" w:hAnsiTheme="majorHAnsi"/>
          <w:sz w:val="36"/>
          <w:szCs w:val="36"/>
        </w:rPr>
      </w:pPr>
      <w:r w:rsidRPr="00A3493B">
        <w:rPr>
          <w:rFonts w:asciiTheme="majorHAnsi" w:hAnsiTheme="majorHAnsi"/>
          <w:sz w:val="36"/>
          <w:szCs w:val="36"/>
        </w:rPr>
        <w:t>License of Occupation Application</w:t>
      </w:r>
    </w:p>
    <w:p w:rsidR="00C173D6" w:rsidRDefault="00605091" w:rsidP="00A3493B">
      <w:pPr>
        <w:pStyle w:val="NoSpacing"/>
        <w:rPr>
          <w:rFonts w:asciiTheme="majorHAnsi" w:hAnsiTheme="majorHAnsi"/>
          <w:sz w:val="36"/>
          <w:szCs w:val="36"/>
        </w:rPr>
      </w:pPr>
      <w:r>
        <w:rPr>
          <w:rFonts w:asciiTheme="majorHAnsi" w:hAnsiTheme="majorHAnsi"/>
          <w:sz w:val="36"/>
          <w:szCs w:val="36"/>
        </w:rPr>
        <w:t>IUP file no. 341</w:t>
      </w:r>
      <w:r w:rsidR="00C173D6">
        <w:rPr>
          <w:rFonts w:asciiTheme="majorHAnsi" w:hAnsiTheme="majorHAnsi"/>
          <w:sz w:val="36"/>
          <w:szCs w:val="36"/>
        </w:rPr>
        <w:t>2063</w:t>
      </w:r>
    </w:p>
    <w:p w:rsidR="00E04A07" w:rsidRPr="002D5123" w:rsidRDefault="00A3493B" w:rsidP="00A3493B">
      <w:pPr>
        <w:pStyle w:val="NoSpacing"/>
        <w:rPr>
          <w:rFonts w:ascii="Gill Sans MT" w:hAnsi="Gill Sans MT"/>
        </w:rPr>
      </w:pPr>
      <w:r w:rsidRPr="00A3493B">
        <w:rPr>
          <w:rFonts w:asciiTheme="majorHAnsi" w:hAnsiTheme="majorHAnsi"/>
          <w:noProof/>
          <w:sz w:val="36"/>
          <w:szCs w:val="36"/>
          <w:lang w:val="en-CA" w:eastAsia="en-CA"/>
        </w:rPr>
        <w:drawing>
          <wp:anchor distT="0" distB="0" distL="114300" distR="114300" simplePos="0" relativeHeight="251659264" behindDoc="0" locked="0" layoutInCell="1" allowOverlap="1">
            <wp:simplePos x="1771650" y="923925"/>
            <wp:positionH relativeFrom="margin">
              <wp:align>right</wp:align>
            </wp:positionH>
            <wp:positionV relativeFrom="margin">
              <wp:align>top</wp:align>
            </wp:positionV>
            <wp:extent cx="600075" cy="1219200"/>
            <wp:effectExtent l="19050" t="0" r="9525" b="0"/>
            <wp:wrapSquare wrapText="bothSides"/>
            <wp:docPr id="4" name="Picture 2" descr="WINDPROSP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PROSPECT LOGO"/>
                    <pic:cNvPicPr>
                      <a:picLocks noChangeAspect="1" noChangeArrowheads="1"/>
                    </pic:cNvPicPr>
                  </pic:nvPicPr>
                  <pic:blipFill>
                    <a:blip r:embed="rId8" cstate="print"/>
                    <a:srcRect/>
                    <a:stretch>
                      <a:fillRect/>
                    </a:stretch>
                  </pic:blipFill>
                  <pic:spPr bwMode="auto">
                    <a:xfrm>
                      <a:off x="0" y="0"/>
                      <a:ext cx="600075" cy="1219200"/>
                    </a:xfrm>
                    <a:prstGeom prst="rect">
                      <a:avLst/>
                    </a:prstGeom>
                    <a:noFill/>
                    <a:ln w="9525">
                      <a:noFill/>
                      <a:miter lim="800000"/>
                      <a:headEnd/>
                      <a:tailEnd/>
                    </a:ln>
                  </pic:spPr>
                </pic:pic>
              </a:graphicData>
            </a:graphic>
          </wp:anchor>
        </w:drawing>
      </w:r>
    </w:p>
    <w:p w:rsidR="00F34F62" w:rsidRPr="00E013A5" w:rsidRDefault="00F34F62" w:rsidP="00E013A5">
      <w:pPr>
        <w:pStyle w:val="Title"/>
      </w:pPr>
      <w:r w:rsidRPr="00E013A5">
        <w:t>Purpose</w:t>
      </w:r>
    </w:p>
    <w:p w:rsidR="007B2716" w:rsidRPr="009125DC" w:rsidRDefault="00935C30" w:rsidP="006C2BA7">
      <w:pPr>
        <w:rPr>
          <w:sz w:val="22"/>
          <w:szCs w:val="22"/>
        </w:rPr>
      </w:pPr>
      <w:r w:rsidRPr="009125DC">
        <w:rPr>
          <w:sz w:val="22"/>
          <w:szCs w:val="22"/>
        </w:rPr>
        <w:t xml:space="preserve">The purpose of this </w:t>
      </w:r>
      <w:r w:rsidR="00661A5F" w:rsidRPr="009125DC">
        <w:rPr>
          <w:sz w:val="22"/>
          <w:szCs w:val="22"/>
        </w:rPr>
        <w:t>License of O</w:t>
      </w:r>
      <w:r w:rsidR="007328C5" w:rsidRPr="009125DC">
        <w:rPr>
          <w:sz w:val="22"/>
          <w:szCs w:val="22"/>
        </w:rPr>
        <w:t>ccupation</w:t>
      </w:r>
      <w:r w:rsidR="00661A5F" w:rsidRPr="009125DC">
        <w:rPr>
          <w:sz w:val="22"/>
          <w:szCs w:val="22"/>
        </w:rPr>
        <w:t xml:space="preserve"> (LOO)</w:t>
      </w:r>
      <w:r w:rsidRPr="009125DC">
        <w:rPr>
          <w:sz w:val="22"/>
          <w:szCs w:val="22"/>
        </w:rPr>
        <w:t xml:space="preserve"> is to</w:t>
      </w:r>
      <w:r w:rsidR="007328C5" w:rsidRPr="009125DC">
        <w:rPr>
          <w:sz w:val="22"/>
          <w:szCs w:val="22"/>
        </w:rPr>
        <w:t xml:space="preserve"> enable </w:t>
      </w:r>
      <w:r w:rsidR="00492203" w:rsidRPr="009125DC">
        <w:rPr>
          <w:sz w:val="22"/>
          <w:szCs w:val="22"/>
        </w:rPr>
        <w:t xml:space="preserve">Wind Prospect </w:t>
      </w:r>
      <w:r w:rsidR="000C1746" w:rsidRPr="009125DC">
        <w:rPr>
          <w:sz w:val="22"/>
          <w:szCs w:val="22"/>
        </w:rPr>
        <w:t xml:space="preserve">British Columbia Inc </w:t>
      </w:r>
      <w:r w:rsidR="00492203" w:rsidRPr="009125DC">
        <w:rPr>
          <w:sz w:val="22"/>
          <w:szCs w:val="22"/>
        </w:rPr>
        <w:t>(WP</w:t>
      </w:r>
      <w:r w:rsidR="000C1746" w:rsidRPr="009125DC">
        <w:rPr>
          <w:sz w:val="22"/>
          <w:szCs w:val="22"/>
        </w:rPr>
        <w:t>BCI</w:t>
      </w:r>
      <w:r w:rsidR="00492203" w:rsidRPr="009125DC">
        <w:rPr>
          <w:sz w:val="22"/>
          <w:szCs w:val="22"/>
        </w:rPr>
        <w:t xml:space="preserve">) </w:t>
      </w:r>
      <w:r w:rsidR="007328C5" w:rsidRPr="009125DC">
        <w:rPr>
          <w:sz w:val="22"/>
          <w:szCs w:val="22"/>
        </w:rPr>
        <w:t xml:space="preserve">to install </w:t>
      </w:r>
      <w:r w:rsidR="000C1746" w:rsidRPr="009125DC">
        <w:rPr>
          <w:sz w:val="22"/>
          <w:szCs w:val="22"/>
        </w:rPr>
        <w:t>wind monitoring</w:t>
      </w:r>
      <w:r w:rsidR="007474F8" w:rsidRPr="009125DC">
        <w:rPr>
          <w:sz w:val="22"/>
          <w:szCs w:val="22"/>
        </w:rPr>
        <w:t xml:space="preserve"> </w:t>
      </w:r>
      <w:r w:rsidR="007328C5" w:rsidRPr="009125DC">
        <w:rPr>
          <w:sz w:val="22"/>
          <w:szCs w:val="22"/>
        </w:rPr>
        <w:t>tower</w:t>
      </w:r>
      <w:r w:rsidR="007B2716" w:rsidRPr="009125DC">
        <w:rPr>
          <w:sz w:val="22"/>
          <w:szCs w:val="22"/>
        </w:rPr>
        <w:t>s</w:t>
      </w:r>
      <w:r w:rsidR="000C1746" w:rsidRPr="009125DC">
        <w:rPr>
          <w:sz w:val="22"/>
          <w:szCs w:val="22"/>
        </w:rPr>
        <w:t xml:space="preserve"> within IUP </w:t>
      </w:r>
      <w:r w:rsidR="00A62DF9" w:rsidRPr="009125DC">
        <w:rPr>
          <w:sz w:val="22"/>
          <w:szCs w:val="22"/>
        </w:rPr>
        <w:t>no. 3412063</w:t>
      </w:r>
      <w:r w:rsidR="007328C5" w:rsidRPr="009125DC">
        <w:rPr>
          <w:sz w:val="22"/>
          <w:szCs w:val="22"/>
        </w:rPr>
        <w:t xml:space="preserve"> </w:t>
      </w:r>
      <w:r w:rsidR="000C1746" w:rsidRPr="009125DC">
        <w:rPr>
          <w:sz w:val="22"/>
          <w:szCs w:val="22"/>
        </w:rPr>
        <w:t xml:space="preserve">to verify the wind resource and determine if this </w:t>
      </w:r>
      <w:r w:rsidR="00303E6A" w:rsidRPr="009125DC">
        <w:rPr>
          <w:sz w:val="22"/>
          <w:szCs w:val="22"/>
        </w:rPr>
        <w:t>IUP area</w:t>
      </w:r>
      <w:r w:rsidR="000C1746" w:rsidRPr="009125DC">
        <w:rPr>
          <w:sz w:val="22"/>
          <w:szCs w:val="22"/>
        </w:rPr>
        <w:t xml:space="preserve"> will support a commercial wind energy development.  </w:t>
      </w:r>
      <w:r w:rsidR="00A62DF9" w:rsidRPr="009125DC">
        <w:rPr>
          <w:sz w:val="22"/>
          <w:szCs w:val="22"/>
        </w:rPr>
        <w:t>This management plan provides</w:t>
      </w:r>
      <w:r w:rsidR="000C1746" w:rsidRPr="009125DC">
        <w:rPr>
          <w:sz w:val="22"/>
          <w:szCs w:val="22"/>
        </w:rPr>
        <w:t xml:space="preserve"> </w:t>
      </w:r>
      <w:r w:rsidR="00A62DF9" w:rsidRPr="009125DC">
        <w:rPr>
          <w:sz w:val="22"/>
          <w:szCs w:val="22"/>
        </w:rPr>
        <w:t>a</w:t>
      </w:r>
      <w:r w:rsidR="000C1746" w:rsidRPr="009125DC">
        <w:rPr>
          <w:sz w:val="22"/>
          <w:szCs w:val="22"/>
        </w:rPr>
        <w:t xml:space="preserve"> </w:t>
      </w:r>
      <w:r w:rsidR="00A62DF9" w:rsidRPr="009125DC">
        <w:rPr>
          <w:sz w:val="22"/>
          <w:szCs w:val="22"/>
        </w:rPr>
        <w:t xml:space="preserve">description of </w:t>
      </w:r>
      <w:r w:rsidR="0003721C" w:rsidRPr="009125DC">
        <w:rPr>
          <w:sz w:val="22"/>
          <w:szCs w:val="22"/>
        </w:rPr>
        <w:t xml:space="preserve">WPBCI’s overall wind strategy for the project, a description of </w:t>
      </w:r>
      <w:r w:rsidR="00A62DF9" w:rsidRPr="009125DC">
        <w:rPr>
          <w:sz w:val="22"/>
          <w:szCs w:val="22"/>
        </w:rPr>
        <w:t xml:space="preserve">each </w:t>
      </w:r>
      <w:r w:rsidR="0003721C" w:rsidRPr="009125DC">
        <w:rPr>
          <w:sz w:val="22"/>
          <w:szCs w:val="22"/>
        </w:rPr>
        <w:t>individual mast</w:t>
      </w:r>
      <w:r w:rsidR="00A62DF9" w:rsidRPr="009125DC">
        <w:rPr>
          <w:sz w:val="22"/>
          <w:szCs w:val="22"/>
        </w:rPr>
        <w:t xml:space="preserve"> location, </w:t>
      </w:r>
      <w:r w:rsidR="00B63459" w:rsidRPr="009125DC">
        <w:rPr>
          <w:sz w:val="22"/>
          <w:szCs w:val="22"/>
        </w:rPr>
        <w:t>information relating to the land use and access</w:t>
      </w:r>
      <w:r w:rsidR="00D02C60" w:rsidRPr="009125DC">
        <w:rPr>
          <w:sz w:val="22"/>
          <w:szCs w:val="22"/>
        </w:rPr>
        <w:t xml:space="preserve"> on site</w:t>
      </w:r>
      <w:r w:rsidR="00B63459" w:rsidRPr="009125DC">
        <w:rPr>
          <w:sz w:val="22"/>
          <w:szCs w:val="22"/>
        </w:rPr>
        <w:t>,</w:t>
      </w:r>
      <w:r w:rsidR="00D02C60" w:rsidRPr="009125DC">
        <w:rPr>
          <w:sz w:val="22"/>
          <w:szCs w:val="22"/>
        </w:rPr>
        <w:t xml:space="preserve"> a</w:t>
      </w:r>
      <w:r w:rsidR="00B63459" w:rsidRPr="009125DC">
        <w:rPr>
          <w:sz w:val="22"/>
          <w:szCs w:val="22"/>
        </w:rPr>
        <w:t xml:space="preserve"> description of </w:t>
      </w:r>
      <w:r w:rsidR="00A62DF9" w:rsidRPr="009125DC">
        <w:rPr>
          <w:sz w:val="22"/>
          <w:szCs w:val="22"/>
        </w:rPr>
        <w:t xml:space="preserve">the </w:t>
      </w:r>
      <w:r w:rsidR="0003721C" w:rsidRPr="009125DC">
        <w:rPr>
          <w:sz w:val="22"/>
          <w:szCs w:val="22"/>
        </w:rPr>
        <w:t xml:space="preserve">met mast </w:t>
      </w:r>
      <w:r w:rsidR="00A62DF9" w:rsidRPr="009125DC">
        <w:rPr>
          <w:sz w:val="22"/>
          <w:szCs w:val="22"/>
        </w:rPr>
        <w:t>tower</w:t>
      </w:r>
      <w:r w:rsidR="007B2716" w:rsidRPr="009125DC">
        <w:rPr>
          <w:sz w:val="22"/>
          <w:szCs w:val="22"/>
        </w:rPr>
        <w:t xml:space="preserve"> and </w:t>
      </w:r>
      <w:r w:rsidR="000F5C5C" w:rsidRPr="009125DC">
        <w:rPr>
          <w:sz w:val="22"/>
          <w:szCs w:val="22"/>
        </w:rPr>
        <w:t>its instrumentation</w:t>
      </w:r>
      <w:r w:rsidR="007B2716" w:rsidRPr="009125DC">
        <w:rPr>
          <w:sz w:val="22"/>
          <w:szCs w:val="22"/>
        </w:rPr>
        <w:t>, an</w:t>
      </w:r>
      <w:r w:rsidR="00FA458E" w:rsidRPr="009125DC">
        <w:rPr>
          <w:sz w:val="22"/>
          <w:szCs w:val="22"/>
        </w:rPr>
        <w:t>d an</w:t>
      </w:r>
      <w:r w:rsidR="007B2716" w:rsidRPr="009125DC">
        <w:rPr>
          <w:sz w:val="22"/>
          <w:szCs w:val="22"/>
        </w:rPr>
        <w:t xml:space="preserve"> outline</w:t>
      </w:r>
      <w:r w:rsidR="006F227D" w:rsidRPr="009125DC">
        <w:rPr>
          <w:sz w:val="22"/>
          <w:szCs w:val="22"/>
        </w:rPr>
        <w:t xml:space="preserve"> </w:t>
      </w:r>
      <w:r w:rsidR="007B2716" w:rsidRPr="009125DC">
        <w:rPr>
          <w:sz w:val="22"/>
          <w:szCs w:val="22"/>
        </w:rPr>
        <w:t>of</w:t>
      </w:r>
      <w:r w:rsidR="00A62DF9" w:rsidRPr="009125DC">
        <w:rPr>
          <w:sz w:val="22"/>
          <w:szCs w:val="22"/>
        </w:rPr>
        <w:t xml:space="preserve"> </w:t>
      </w:r>
      <w:r w:rsidR="000F5C5C" w:rsidRPr="009125DC">
        <w:rPr>
          <w:sz w:val="22"/>
          <w:szCs w:val="22"/>
        </w:rPr>
        <w:t xml:space="preserve">the </w:t>
      </w:r>
      <w:r w:rsidR="00A62DF9" w:rsidRPr="009125DC">
        <w:rPr>
          <w:sz w:val="22"/>
          <w:szCs w:val="22"/>
        </w:rPr>
        <w:t>installation plan</w:t>
      </w:r>
      <w:r w:rsidR="00B63459" w:rsidRPr="009125DC">
        <w:rPr>
          <w:sz w:val="22"/>
          <w:szCs w:val="22"/>
        </w:rPr>
        <w:t xml:space="preserve"> and </w:t>
      </w:r>
      <w:r w:rsidR="00D02C60" w:rsidRPr="009125DC">
        <w:rPr>
          <w:sz w:val="22"/>
          <w:szCs w:val="22"/>
        </w:rPr>
        <w:t xml:space="preserve">tower </w:t>
      </w:r>
      <w:r w:rsidR="00B63459" w:rsidRPr="009125DC">
        <w:rPr>
          <w:sz w:val="22"/>
          <w:szCs w:val="22"/>
        </w:rPr>
        <w:t>operation</w:t>
      </w:r>
      <w:r w:rsidR="00FA458E" w:rsidRPr="009125DC">
        <w:rPr>
          <w:sz w:val="22"/>
          <w:szCs w:val="22"/>
        </w:rPr>
        <w:t xml:space="preserve">. </w:t>
      </w:r>
      <w:r w:rsidR="00A62DF9" w:rsidRPr="009125DC">
        <w:rPr>
          <w:sz w:val="22"/>
          <w:szCs w:val="22"/>
        </w:rPr>
        <w:t xml:space="preserve"> </w:t>
      </w:r>
      <w:r w:rsidR="00B63459" w:rsidRPr="009125DC">
        <w:rPr>
          <w:sz w:val="22"/>
          <w:szCs w:val="22"/>
        </w:rPr>
        <w:t xml:space="preserve">Although a permit is not required to install SODAR </w:t>
      </w:r>
      <w:r w:rsidR="000B2BE8" w:rsidRPr="009125DC">
        <w:rPr>
          <w:sz w:val="22"/>
          <w:szCs w:val="22"/>
        </w:rPr>
        <w:t>equipment</w:t>
      </w:r>
      <w:r w:rsidR="00B63459" w:rsidRPr="009125DC">
        <w:rPr>
          <w:sz w:val="22"/>
          <w:szCs w:val="22"/>
        </w:rPr>
        <w:t xml:space="preserve"> on site, information about SODAR has been included within this plan</w:t>
      </w:r>
      <w:r w:rsidR="000B2BE8" w:rsidRPr="009125DC">
        <w:rPr>
          <w:sz w:val="22"/>
          <w:szCs w:val="22"/>
        </w:rPr>
        <w:t xml:space="preserve"> as the equipment forms part of </w:t>
      </w:r>
      <w:r w:rsidR="00D02C60" w:rsidRPr="009125DC">
        <w:rPr>
          <w:sz w:val="22"/>
          <w:szCs w:val="22"/>
        </w:rPr>
        <w:t>the</w:t>
      </w:r>
      <w:r w:rsidR="000B2BE8" w:rsidRPr="009125DC">
        <w:rPr>
          <w:sz w:val="22"/>
          <w:szCs w:val="22"/>
        </w:rPr>
        <w:t xml:space="preserve"> wind monitoring strategy</w:t>
      </w:r>
      <w:r w:rsidR="00B63459" w:rsidRPr="009125DC">
        <w:rPr>
          <w:sz w:val="22"/>
          <w:szCs w:val="22"/>
        </w:rPr>
        <w:t xml:space="preserve">.  </w:t>
      </w:r>
      <w:r w:rsidR="007B2716" w:rsidRPr="009125DC">
        <w:rPr>
          <w:sz w:val="22"/>
          <w:szCs w:val="22"/>
        </w:rPr>
        <w:t>Should this LOO application be successful, met tower installation would follow as soon as possible after.</w:t>
      </w:r>
    </w:p>
    <w:p w:rsidR="007B2716" w:rsidRDefault="007B2716" w:rsidP="006C2BA7"/>
    <w:p w:rsidR="00B63459" w:rsidRDefault="00B63459" w:rsidP="00B63459">
      <w:pPr>
        <w:pStyle w:val="Title"/>
      </w:pPr>
      <w:r>
        <w:t>Wind Monitoring Strategy</w:t>
      </w:r>
    </w:p>
    <w:p w:rsidR="003744FF" w:rsidRPr="007E6F98" w:rsidRDefault="008D7A2D" w:rsidP="00840A39">
      <w:pPr>
        <w:rPr>
          <w:sz w:val="22"/>
          <w:szCs w:val="22"/>
        </w:rPr>
      </w:pPr>
      <w:r w:rsidRPr="0022021D">
        <w:rPr>
          <w:sz w:val="22"/>
          <w:szCs w:val="22"/>
        </w:rPr>
        <w:t xml:space="preserve">The Copper Mountain Wind Project consists of two </w:t>
      </w:r>
      <w:r w:rsidRPr="007E6F98">
        <w:rPr>
          <w:sz w:val="22"/>
          <w:szCs w:val="22"/>
        </w:rPr>
        <w:t>IUP’s 3412063 (this application) and 3412188</w:t>
      </w:r>
      <w:r w:rsidR="003744FF" w:rsidRPr="007E6F98">
        <w:rPr>
          <w:sz w:val="22"/>
          <w:szCs w:val="22"/>
        </w:rPr>
        <w:t xml:space="preserve">. </w:t>
      </w:r>
    </w:p>
    <w:p w:rsidR="00840A39" w:rsidRPr="007E6F98" w:rsidRDefault="008D7A2D" w:rsidP="00840A39">
      <w:pPr>
        <w:rPr>
          <w:sz w:val="22"/>
          <w:szCs w:val="22"/>
        </w:rPr>
      </w:pPr>
      <w:r w:rsidRPr="007E6F98">
        <w:rPr>
          <w:sz w:val="22"/>
          <w:szCs w:val="22"/>
        </w:rPr>
        <w:t xml:space="preserve">WPBCI has </w:t>
      </w:r>
      <w:r w:rsidR="003821A2" w:rsidRPr="007E6F98">
        <w:rPr>
          <w:sz w:val="22"/>
          <w:szCs w:val="22"/>
        </w:rPr>
        <w:t>identified</w:t>
      </w:r>
      <w:r w:rsidRPr="007E6F98">
        <w:rPr>
          <w:sz w:val="22"/>
          <w:szCs w:val="22"/>
        </w:rPr>
        <w:t xml:space="preserve"> ten mast locations, five </w:t>
      </w:r>
      <w:r w:rsidR="00D02C60" w:rsidRPr="007E6F98">
        <w:rPr>
          <w:sz w:val="22"/>
          <w:szCs w:val="22"/>
        </w:rPr>
        <w:t>across</w:t>
      </w:r>
      <w:r w:rsidRPr="007E6F98">
        <w:rPr>
          <w:sz w:val="22"/>
          <w:szCs w:val="22"/>
        </w:rPr>
        <w:t xml:space="preserve"> each IUP, </w:t>
      </w:r>
      <w:r w:rsidR="00D02C60" w:rsidRPr="007E6F98">
        <w:rPr>
          <w:sz w:val="22"/>
          <w:szCs w:val="22"/>
        </w:rPr>
        <w:t xml:space="preserve">for us to monitor a gain an understanding of the </w:t>
      </w:r>
      <w:r w:rsidRPr="007E6F98">
        <w:rPr>
          <w:sz w:val="22"/>
          <w:szCs w:val="22"/>
        </w:rPr>
        <w:t xml:space="preserve">wind regime across the entire </w:t>
      </w:r>
      <w:r w:rsidR="001B143F" w:rsidRPr="007E6F98">
        <w:rPr>
          <w:sz w:val="22"/>
          <w:szCs w:val="22"/>
        </w:rPr>
        <w:t xml:space="preserve">2 IUP </w:t>
      </w:r>
      <w:r w:rsidRPr="007E6F98">
        <w:rPr>
          <w:sz w:val="22"/>
          <w:szCs w:val="22"/>
        </w:rPr>
        <w:t xml:space="preserve">site.  </w:t>
      </w:r>
      <w:r w:rsidR="003821A2" w:rsidRPr="007E6F98">
        <w:rPr>
          <w:sz w:val="22"/>
          <w:szCs w:val="22"/>
        </w:rPr>
        <w:t xml:space="preserve">Although two </w:t>
      </w:r>
      <w:r w:rsidR="000B2BE8" w:rsidRPr="007E6F98">
        <w:rPr>
          <w:sz w:val="22"/>
          <w:szCs w:val="22"/>
        </w:rPr>
        <w:t xml:space="preserve">LOO </w:t>
      </w:r>
      <w:r w:rsidR="003821A2" w:rsidRPr="007E6F98">
        <w:rPr>
          <w:sz w:val="22"/>
          <w:szCs w:val="22"/>
        </w:rPr>
        <w:t>applications have been submitted</w:t>
      </w:r>
      <w:r w:rsidR="000B2BE8" w:rsidRPr="007E6F98">
        <w:rPr>
          <w:sz w:val="22"/>
          <w:szCs w:val="22"/>
        </w:rPr>
        <w:t xml:space="preserve"> separately</w:t>
      </w:r>
      <w:r w:rsidR="003821A2" w:rsidRPr="007E6F98">
        <w:rPr>
          <w:sz w:val="22"/>
          <w:szCs w:val="22"/>
        </w:rPr>
        <w:t>, a selection of mast locations taken from both of the applications will constitute the collective wind monitoring strategy for the project.</w:t>
      </w:r>
      <w:r w:rsidR="005A5C91" w:rsidRPr="007E6F98">
        <w:rPr>
          <w:sz w:val="22"/>
          <w:szCs w:val="22"/>
        </w:rPr>
        <w:t xml:space="preserve">  As such not all of the identified locations within each application will be utilized.</w:t>
      </w:r>
      <w:r w:rsidR="003821A2" w:rsidRPr="007E6F98">
        <w:rPr>
          <w:sz w:val="22"/>
          <w:szCs w:val="22"/>
        </w:rPr>
        <w:t xml:space="preserve">  </w:t>
      </w:r>
      <w:r w:rsidRPr="007E6F98">
        <w:rPr>
          <w:sz w:val="22"/>
          <w:szCs w:val="22"/>
        </w:rPr>
        <w:t xml:space="preserve">The </w:t>
      </w:r>
      <w:r w:rsidR="001B143F" w:rsidRPr="007E6F98">
        <w:rPr>
          <w:sz w:val="22"/>
          <w:szCs w:val="22"/>
        </w:rPr>
        <w:t>f</w:t>
      </w:r>
      <w:r w:rsidRPr="007E6F98">
        <w:rPr>
          <w:sz w:val="22"/>
          <w:szCs w:val="22"/>
        </w:rPr>
        <w:t xml:space="preserve">ive locations that have been </w:t>
      </w:r>
      <w:r w:rsidR="003821A2" w:rsidRPr="007E6F98">
        <w:rPr>
          <w:sz w:val="22"/>
          <w:szCs w:val="22"/>
        </w:rPr>
        <w:t>identified</w:t>
      </w:r>
      <w:r w:rsidRPr="007E6F98">
        <w:rPr>
          <w:sz w:val="22"/>
          <w:szCs w:val="22"/>
        </w:rPr>
        <w:t xml:space="preserve"> for this application are outlined in Table 1 with</w:t>
      </w:r>
      <w:r w:rsidR="00D02C60" w:rsidRPr="007E6F98">
        <w:rPr>
          <w:sz w:val="22"/>
          <w:szCs w:val="22"/>
        </w:rPr>
        <w:t>in</w:t>
      </w:r>
      <w:r w:rsidRPr="007E6F98">
        <w:rPr>
          <w:sz w:val="22"/>
          <w:szCs w:val="22"/>
        </w:rPr>
        <w:t xml:space="preserve"> the Meteorological (met) tower locations section below</w:t>
      </w:r>
      <w:r w:rsidR="003744FF" w:rsidRPr="007E6F98">
        <w:rPr>
          <w:sz w:val="22"/>
          <w:szCs w:val="22"/>
        </w:rPr>
        <w:t xml:space="preserve">. </w:t>
      </w:r>
    </w:p>
    <w:p w:rsidR="00840A39" w:rsidRPr="007E6F98" w:rsidRDefault="00840A39" w:rsidP="00840A39">
      <w:pPr>
        <w:rPr>
          <w:sz w:val="22"/>
          <w:szCs w:val="22"/>
        </w:rPr>
      </w:pPr>
    </w:p>
    <w:p w:rsidR="00094055" w:rsidRPr="0022021D" w:rsidRDefault="003744FF" w:rsidP="001B143F">
      <w:pPr>
        <w:rPr>
          <w:sz w:val="22"/>
          <w:szCs w:val="22"/>
        </w:rPr>
      </w:pPr>
      <w:r w:rsidRPr="007E6F98">
        <w:rPr>
          <w:sz w:val="22"/>
          <w:szCs w:val="22"/>
        </w:rPr>
        <w:t>It is WPBCI’s intention to deploy SODAR units on site as soon as possible to get an initial indication of the wind speed.  Should the wind resource prove to be viable; met tower installation would follow</w:t>
      </w:r>
      <w:r w:rsidR="003821A2" w:rsidRPr="007E6F98">
        <w:rPr>
          <w:sz w:val="22"/>
          <w:szCs w:val="22"/>
        </w:rPr>
        <w:t xml:space="preserve"> </w:t>
      </w:r>
      <w:r w:rsidR="005A5C91" w:rsidRPr="007E6F98">
        <w:rPr>
          <w:sz w:val="22"/>
          <w:szCs w:val="22"/>
        </w:rPr>
        <w:t xml:space="preserve">shortly after accompanied by </w:t>
      </w:r>
      <w:r w:rsidR="003821A2" w:rsidRPr="007E6F98">
        <w:rPr>
          <w:sz w:val="22"/>
          <w:szCs w:val="22"/>
        </w:rPr>
        <w:t>rotating SODAR units for correlation</w:t>
      </w:r>
      <w:r w:rsidRPr="007E6F98">
        <w:rPr>
          <w:sz w:val="22"/>
          <w:szCs w:val="22"/>
        </w:rPr>
        <w:t xml:space="preserve">.  Following the initial SODAR assessment, </w:t>
      </w:r>
      <w:r w:rsidR="001B143F" w:rsidRPr="007E6F98">
        <w:rPr>
          <w:sz w:val="22"/>
          <w:szCs w:val="22"/>
        </w:rPr>
        <w:t xml:space="preserve">only one met mast will be installed on site </w:t>
      </w:r>
      <w:r w:rsidR="005A5C91" w:rsidRPr="007E6F98">
        <w:rPr>
          <w:sz w:val="22"/>
          <w:szCs w:val="22"/>
        </w:rPr>
        <w:t xml:space="preserve">initially </w:t>
      </w:r>
      <w:r w:rsidR="001B143F" w:rsidRPr="007E6F98">
        <w:rPr>
          <w:sz w:val="22"/>
          <w:szCs w:val="22"/>
        </w:rPr>
        <w:t xml:space="preserve">for the first 3 – 6 months.  After this initial period of monitoring, WPBCI will conduct a wind resource assessment to </w:t>
      </w:r>
      <w:r w:rsidRPr="007E6F98">
        <w:rPr>
          <w:sz w:val="22"/>
          <w:szCs w:val="22"/>
        </w:rPr>
        <w:t xml:space="preserve">further </w:t>
      </w:r>
      <w:r w:rsidR="001B143F" w:rsidRPr="007E6F98">
        <w:rPr>
          <w:sz w:val="22"/>
          <w:szCs w:val="22"/>
        </w:rPr>
        <w:t>determine the viability of the site for the development of a commercial wind energy development.  Should the wind resource</w:t>
      </w:r>
      <w:r w:rsidRPr="007E6F98">
        <w:rPr>
          <w:sz w:val="22"/>
          <w:szCs w:val="22"/>
        </w:rPr>
        <w:t xml:space="preserve"> continue to </w:t>
      </w:r>
      <w:r w:rsidR="005A5C91" w:rsidRPr="007E6F98">
        <w:rPr>
          <w:sz w:val="22"/>
          <w:szCs w:val="22"/>
        </w:rPr>
        <w:t>prove</w:t>
      </w:r>
      <w:r w:rsidRPr="007E6F98">
        <w:rPr>
          <w:sz w:val="22"/>
          <w:szCs w:val="22"/>
        </w:rPr>
        <w:t xml:space="preserve"> viable results</w:t>
      </w:r>
      <w:r w:rsidR="001B143F" w:rsidRPr="007E6F98">
        <w:rPr>
          <w:sz w:val="22"/>
          <w:szCs w:val="22"/>
        </w:rPr>
        <w:t xml:space="preserve">, WPBCI will </w:t>
      </w:r>
      <w:r w:rsidR="00D02C60" w:rsidRPr="007E6F98">
        <w:rPr>
          <w:sz w:val="22"/>
          <w:szCs w:val="22"/>
        </w:rPr>
        <w:t xml:space="preserve">continue </w:t>
      </w:r>
      <w:r w:rsidRPr="007E6F98">
        <w:rPr>
          <w:sz w:val="22"/>
          <w:szCs w:val="22"/>
        </w:rPr>
        <w:t xml:space="preserve">to </w:t>
      </w:r>
      <w:r w:rsidR="001B143F" w:rsidRPr="007E6F98">
        <w:rPr>
          <w:sz w:val="22"/>
          <w:szCs w:val="22"/>
        </w:rPr>
        <w:t xml:space="preserve">select </w:t>
      </w:r>
      <w:r w:rsidR="005A5C91" w:rsidRPr="007E6F98">
        <w:rPr>
          <w:sz w:val="22"/>
          <w:szCs w:val="22"/>
        </w:rPr>
        <w:t xml:space="preserve">further mast locations across the entire </w:t>
      </w:r>
      <w:r w:rsidR="00A16089" w:rsidRPr="007E6F98">
        <w:rPr>
          <w:sz w:val="22"/>
          <w:szCs w:val="22"/>
        </w:rPr>
        <w:t>project area</w:t>
      </w:r>
      <w:r w:rsidR="00D02C60" w:rsidRPr="007E6F98">
        <w:rPr>
          <w:sz w:val="22"/>
          <w:szCs w:val="22"/>
        </w:rPr>
        <w:t>,</w:t>
      </w:r>
      <w:r w:rsidR="00A16089" w:rsidRPr="007E6F98">
        <w:rPr>
          <w:sz w:val="22"/>
          <w:szCs w:val="22"/>
        </w:rPr>
        <w:t xml:space="preserve"> including locations</w:t>
      </w:r>
      <w:r w:rsidR="005A5C91" w:rsidRPr="007E6F98">
        <w:rPr>
          <w:sz w:val="22"/>
          <w:szCs w:val="22"/>
        </w:rPr>
        <w:t xml:space="preserve"> </w:t>
      </w:r>
      <w:r w:rsidR="001B143F" w:rsidRPr="007E6F98">
        <w:rPr>
          <w:sz w:val="22"/>
          <w:szCs w:val="22"/>
        </w:rPr>
        <w:t xml:space="preserve">from this application and </w:t>
      </w:r>
      <w:r w:rsidR="00A16089" w:rsidRPr="007E6F98">
        <w:rPr>
          <w:sz w:val="22"/>
          <w:szCs w:val="22"/>
        </w:rPr>
        <w:t>from</w:t>
      </w:r>
      <w:r w:rsidR="001B143F" w:rsidRPr="007E6F98">
        <w:rPr>
          <w:sz w:val="22"/>
          <w:szCs w:val="22"/>
        </w:rPr>
        <w:t xml:space="preserve"> IUP 3412188</w:t>
      </w:r>
      <w:r w:rsidR="00D02C60" w:rsidRPr="007E6F98">
        <w:rPr>
          <w:sz w:val="22"/>
          <w:szCs w:val="22"/>
        </w:rPr>
        <w:t>,</w:t>
      </w:r>
      <w:r w:rsidR="001B143F" w:rsidRPr="007E6F98">
        <w:rPr>
          <w:sz w:val="22"/>
          <w:szCs w:val="22"/>
        </w:rPr>
        <w:t xml:space="preserve"> </w:t>
      </w:r>
      <w:r w:rsidR="005A5C91" w:rsidRPr="007E6F98">
        <w:rPr>
          <w:sz w:val="22"/>
          <w:szCs w:val="22"/>
        </w:rPr>
        <w:t>f</w:t>
      </w:r>
      <w:r w:rsidR="001B143F" w:rsidRPr="007E6F98">
        <w:rPr>
          <w:sz w:val="22"/>
          <w:szCs w:val="22"/>
        </w:rPr>
        <w:t>o</w:t>
      </w:r>
      <w:r w:rsidR="005A5C91" w:rsidRPr="007E6F98">
        <w:rPr>
          <w:sz w:val="22"/>
          <w:szCs w:val="22"/>
        </w:rPr>
        <w:t>r mast</w:t>
      </w:r>
      <w:r w:rsidR="001B143F" w:rsidRPr="007E6F98">
        <w:rPr>
          <w:sz w:val="22"/>
          <w:szCs w:val="22"/>
        </w:rPr>
        <w:t xml:space="preserve"> install</w:t>
      </w:r>
      <w:r w:rsidR="00A16089" w:rsidRPr="007E6F98">
        <w:rPr>
          <w:sz w:val="22"/>
          <w:szCs w:val="22"/>
        </w:rPr>
        <w:t>ation</w:t>
      </w:r>
      <w:r w:rsidR="001B143F" w:rsidRPr="0022021D">
        <w:rPr>
          <w:sz w:val="22"/>
          <w:szCs w:val="22"/>
        </w:rPr>
        <w:t xml:space="preserve">. </w:t>
      </w:r>
      <w:r w:rsidR="005A5C91" w:rsidRPr="0022021D">
        <w:rPr>
          <w:sz w:val="22"/>
          <w:szCs w:val="22"/>
        </w:rPr>
        <w:t xml:space="preserve"> </w:t>
      </w:r>
    </w:p>
    <w:p w:rsidR="00094055" w:rsidRPr="0022021D" w:rsidRDefault="00094055" w:rsidP="001B143F">
      <w:pPr>
        <w:rPr>
          <w:sz w:val="22"/>
          <w:szCs w:val="22"/>
        </w:rPr>
      </w:pPr>
    </w:p>
    <w:p w:rsidR="001B143F" w:rsidRPr="0022021D" w:rsidRDefault="005A5C91" w:rsidP="001B143F">
      <w:pPr>
        <w:rPr>
          <w:sz w:val="22"/>
          <w:szCs w:val="22"/>
        </w:rPr>
      </w:pPr>
      <w:r w:rsidRPr="0022021D">
        <w:rPr>
          <w:sz w:val="22"/>
          <w:szCs w:val="22"/>
        </w:rPr>
        <w:t>The total number of mast</w:t>
      </w:r>
      <w:r w:rsidR="00A16089" w:rsidRPr="0022021D">
        <w:rPr>
          <w:sz w:val="22"/>
          <w:szCs w:val="22"/>
        </w:rPr>
        <w:t>s</w:t>
      </w:r>
      <w:r w:rsidRPr="0022021D">
        <w:rPr>
          <w:sz w:val="22"/>
          <w:szCs w:val="22"/>
        </w:rPr>
        <w:t xml:space="preserve"> to be installed </w:t>
      </w:r>
      <w:r w:rsidR="00094055" w:rsidRPr="0022021D">
        <w:rPr>
          <w:sz w:val="22"/>
          <w:szCs w:val="22"/>
        </w:rPr>
        <w:t>o</w:t>
      </w:r>
      <w:r w:rsidR="003D4F1C" w:rsidRPr="0022021D">
        <w:rPr>
          <w:sz w:val="22"/>
          <w:szCs w:val="22"/>
        </w:rPr>
        <w:t xml:space="preserve">n the project </w:t>
      </w:r>
      <w:r w:rsidRPr="0022021D">
        <w:rPr>
          <w:sz w:val="22"/>
          <w:szCs w:val="22"/>
        </w:rPr>
        <w:t xml:space="preserve">will be determined as the wind monitoring strategy reveals results. </w:t>
      </w:r>
      <w:r w:rsidR="00A16089" w:rsidRPr="0022021D">
        <w:rPr>
          <w:sz w:val="22"/>
          <w:szCs w:val="22"/>
        </w:rPr>
        <w:t xml:space="preserve"> </w:t>
      </w:r>
      <w:r w:rsidR="003D4F1C" w:rsidRPr="0022021D">
        <w:rPr>
          <w:sz w:val="22"/>
          <w:szCs w:val="22"/>
        </w:rPr>
        <w:t xml:space="preserve">Currently five </w:t>
      </w:r>
      <w:r w:rsidR="00094055" w:rsidRPr="0022021D">
        <w:rPr>
          <w:sz w:val="22"/>
          <w:szCs w:val="22"/>
        </w:rPr>
        <w:t>mast</w:t>
      </w:r>
      <w:r w:rsidR="003D4F1C" w:rsidRPr="0022021D">
        <w:rPr>
          <w:sz w:val="22"/>
          <w:szCs w:val="22"/>
        </w:rPr>
        <w:t xml:space="preserve"> locations, </w:t>
      </w:r>
      <w:r w:rsidR="00094055" w:rsidRPr="0022021D">
        <w:rPr>
          <w:sz w:val="22"/>
          <w:szCs w:val="22"/>
        </w:rPr>
        <w:t>two</w:t>
      </w:r>
      <w:r w:rsidR="003D4F1C" w:rsidRPr="0022021D">
        <w:rPr>
          <w:sz w:val="22"/>
          <w:szCs w:val="22"/>
        </w:rPr>
        <w:t xml:space="preserve"> locations from this application</w:t>
      </w:r>
      <w:r w:rsidR="00094055" w:rsidRPr="0022021D">
        <w:rPr>
          <w:sz w:val="22"/>
          <w:szCs w:val="22"/>
        </w:rPr>
        <w:t xml:space="preserve"> (COPW02, COPW04)</w:t>
      </w:r>
      <w:r w:rsidR="003D4F1C" w:rsidRPr="0022021D">
        <w:rPr>
          <w:sz w:val="22"/>
          <w:szCs w:val="22"/>
        </w:rPr>
        <w:t xml:space="preserve"> and </w:t>
      </w:r>
      <w:r w:rsidR="00094055" w:rsidRPr="0022021D">
        <w:rPr>
          <w:sz w:val="22"/>
          <w:szCs w:val="22"/>
        </w:rPr>
        <w:t>three</w:t>
      </w:r>
      <w:r w:rsidR="003D4F1C" w:rsidRPr="0022021D">
        <w:rPr>
          <w:sz w:val="22"/>
          <w:szCs w:val="22"/>
        </w:rPr>
        <w:t xml:space="preserve"> from 3412188</w:t>
      </w:r>
      <w:r w:rsidR="00094055" w:rsidRPr="0022021D">
        <w:rPr>
          <w:sz w:val="22"/>
          <w:szCs w:val="22"/>
        </w:rPr>
        <w:t xml:space="preserve"> (COPE01, COPE02, COPE04) have been highlighted as priority locations with COPW02 and COPE02 being the top two locations for initial install.</w:t>
      </w:r>
      <w:r w:rsidR="003D4F1C" w:rsidRPr="0022021D">
        <w:rPr>
          <w:sz w:val="22"/>
          <w:szCs w:val="22"/>
        </w:rPr>
        <w:t xml:space="preserve">  </w:t>
      </w:r>
    </w:p>
    <w:p w:rsidR="001B143F" w:rsidRDefault="001B143F" w:rsidP="006C2BA7"/>
    <w:p w:rsidR="0022021D" w:rsidRDefault="0022021D" w:rsidP="006C2BA7"/>
    <w:p w:rsidR="0022021D" w:rsidRDefault="0022021D" w:rsidP="006C2BA7"/>
    <w:p w:rsidR="0022021D" w:rsidRDefault="0022021D" w:rsidP="006C2BA7"/>
    <w:p w:rsidR="00232EF7" w:rsidRDefault="005A5C91" w:rsidP="00232EF7">
      <w:pPr>
        <w:pStyle w:val="Title"/>
      </w:pPr>
      <w:r>
        <w:lastRenderedPageBreak/>
        <w:t xml:space="preserve">   </w:t>
      </w:r>
      <w:r w:rsidR="00232EF7">
        <w:t>Met</w:t>
      </w:r>
      <w:r w:rsidR="002C4FAF">
        <w:t>eorological (met)</w:t>
      </w:r>
      <w:r w:rsidR="00232EF7">
        <w:t xml:space="preserve"> Tower Locations</w:t>
      </w:r>
    </w:p>
    <w:p w:rsidR="002C4FAF" w:rsidRDefault="00020684" w:rsidP="006C2BA7">
      <w:pPr>
        <w:rPr>
          <w:sz w:val="22"/>
          <w:szCs w:val="22"/>
        </w:rPr>
      </w:pPr>
      <w:r w:rsidRPr="0022021D">
        <w:rPr>
          <w:sz w:val="22"/>
          <w:szCs w:val="22"/>
        </w:rPr>
        <w:t xml:space="preserve">The </w:t>
      </w:r>
      <w:r w:rsidR="005A5C91" w:rsidRPr="0022021D">
        <w:rPr>
          <w:sz w:val="22"/>
          <w:szCs w:val="22"/>
        </w:rPr>
        <w:t xml:space="preserve">five </w:t>
      </w:r>
      <w:r w:rsidRPr="0022021D">
        <w:rPr>
          <w:sz w:val="22"/>
          <w:szCs w:val="22"/>
        </w:rPr>
        <w:t>mast locations</w:t>
      </w:r>
      <w:r w:rsidR="007B2716" w:rsidRPr="0022021D">
        <w:rPr>
          <w:sz w:val="22"/>
          <w:szCs w:val="22"/>
        </w:rPr>
        <w:t xml:space="preserve"> </w:t>
      </w:r>
      <w:r w:rsidRPr="0022021D">
        <w:rPr>
          <w:sz w:val="22"/>
          <w:szCs w:val="22"/>
        </w:rPr>
        <w:t xml:space="preserve">have been selected based on desktop GIS </w:t>
      </w:r>
      <w:r w:rsidR="00AF1D1D" w:rsidRPr="0022021D">
        <w:rPr>
          <w:sz w:val="22"/>
          <w:szCs w:val="22"/>
        </w:rPr>
        <w:t xml:space="preserve">assessments </w:t>
      </w:r>
      <w:r w:rsidRPr="0022021D">
        <w:rPr>
          <w:sz w:val="22"/>
          <w:szCs w:val="22"/>
        </w:rPr>
        <w:t xml:space="preserve">and </w:t>
      </w:r>
      <w:r w:rsidR="00AF1D1D" w:rsidRPr="0022021D">
        <w:rPr>
          <w:sz w:val="22"/>
          <w:szCs w:val="22"/>
        </w:rPr>
        <w:t>site visits</w:t>
      </w:r>
      <w:r w:rsidRPr="0022021D">
        <w:rPr>
          <w:sz w:val="22"/>
          <w:szCs w:val="22"/>
        </w:rPr>
        <w:t xml:space="preserve"> where possible</w:t>
      </w:r>
      <w:r w:rsidR="007B2716" w:rsidRPr="0022021D">
        <w:rPr>
          <w:sz w:val="22"/>
          <w:szCs w:val="22"/>
        </w:rPr>
        <w:t>.</w:t>
      </w:r>
      <w:r w:rsidR="00162395" w:rsidRPr="0022021D">
        <w:rPr>
          <w:sz w:val="22"/>
          <w:szCs w:val="22"/>
        </w:rPr>
        <w:t xml:space="preserve">  </w:t>
      </w:r>
      <w:r w:rsidR="005A5C91" w:rsidRPr="0022021D">
        <w:rPr>
          <w:sz w:val="22"/>
          <w:szCs w:val="22"/>
        </w:rPr>
        <w:t xml:space="preserve">No locations have been selected on the </w:t>
      </w:r>
      <w:r w:rsidR="007F6FD6" w:rsidRPr="0022021D">
        <w:rPr>
          <w:sz w:val="22"/>
          <w:szCs w:val="22"/>
        </w:rPr>
        <w:t>Northern portion of this project</w:t>
      </w:r>
      <w:r w:rsidR="005A5C91" w:rsidRPr="0022021D">
        <w:rPr>
          <w:sz w:val="22"/>
          <w:szCs w:val="22"/>
        </w:rPr>
        <w:t xml:space="preserve"> due to a radar constraint</w:t>
      </w:r>
      <w:r w:rsidR="007F6FD6" w:rsidRPr="0022021D">
        <w:rPr>
          <w:sz w:val="22"/>
          <w:szCs w:val="22"/>
        </w:rPr>
        <w:t xml:space="preserve"> inhibiting wind turbine generators (WTG) </w:t>
      </w:r>
      <w:r w:rsidR="0080773C" w:rsidRPr="0022021D">
        <w:rPr>
          <w:sz w:val="22"/>
          <w:szCs w:val="22"/>
        </w:rPr>
        <w:t>from being installed there</w:t>
      </w:r>
      <w:r w:rsidR="007F6FD6" w:rsidRPr="0022021D">
        <w:rPr>
          <w:sz w:val="22"/>
          <w:szCs w:val="22"/>
        </w:rPr>
        <w:t>.</w:t>
      </w:r>
    </w:p>
    <w:p w:rsidR="007E6F98" w:rsidRPr="0022021D" w:rsidRDefault="007E6F98" w:rsidP="006C2BA7">
      <w:pPr>
        <w:rPr>
          <w:sz w:val="22"/>
          <w:szCs w:val="22"/>
        </w:rPr>
      </w:pPr>
    </w:p>
    <w:p w:rsidR="003D2DF0" w:rsidRPr="0022021D" w:rsidRDefault="00162395" w:rsidP="006C2BA7">
      <w:pPr>
        <w:rPr>
          <w:sz w:val="22"/>
          <w:szCs w:val="22"/>
        </w:rPr>
      </w:pPr>
      <w:r w:rsidRPr="0022021D">
        <w:rPr>
          <w:sz w:val="22"/>
          <w:szCs w:val="22"/>
        </w:rPr>
        <w:t>Table 1: Met Tower Locations</w:t>
      </w:r>
    </w:p>
    <w:tbl>
      <w:tblPr>
        <w:tblStyle w:val="TableGrid"/>
        <w:tblW w:w="0" w:type="auto"/>
        <w:tblLook w:val="04A0"/>
      </w:tblPr>
      <w:tblGrid>
        <w:gridCol w:w="1091"/>
        <w:gridCol w:w="2061"/>
        <w:gridCol w:w="1724"/>
        <w:gridCol w:w="1186"/>
        <w:gridCol w:w="4126"/>
      </w:tblGrid>
      <w:tr w:rsidR="0080773C" w:rsidRPr="00671EF2" w:rsidTr="000C0C46">
        <w:trPr>
          <w:cantSplit/>
        </w:trPr>
        <w:tc>
          <w:tcPr>
            <w:tcW w:w="1091" w:type="dxa"/>
            <w:vAlign w:val="center"/>
          </w:tcPr>
          <w:p w:rsidR="0080773C" w:rsidRPr="00B752C6" w:rsidRDefault="0080773C" w:rsidP="00162395">
            <w:pPr>
              <w:jc w:val="center"/>
              <w:rPr>
                <w:b/>
                <w:sz w:val="22"/>
                <w:szCs w:val="22"/>
              </w:rPr>
            </w:pPr>
            <w:r w:rsidRPr="00B752C6">
              <w:rPr>
                <w:b/>
                <w:sz w:val="22"/>
                <w:szCs w:val="22"/>
              </w:rPr>
              <w:t>Name</w:t>
            </w:r>
          </w:p>
        </w:tc>
        <w:tc>
          <w:tcPr>
            <w:tcW w:w="2061" w:type="dxa"/>
            <w:vAlign w:val="center"/>
          </w:tcPr>
          <w:p w:rsidR="00B752C6" w:rsidRDefault="0080773C" w:rsidP="00162395">
            <w:pPr>
              <w:jc w:val="center"/>
              <w:rPr>
                <w:b/>
                <w:sz w:val="22"/>
                <w:szCs w:val="22"/>
              </w:rPr>
            </w:pPr>
            <w:r w:rsidRPr="00B752C6">
              <w:rPr>
                <w:b/>
                <w:sz w:val="22"/>
                <w:szCs w:val="22"/>
              </w:rPr>
              <w:t xml:space="preserve">Easting </w:t>
            </w:r>
          </w:p>
          <w:p w:rsidR="0080773C" w:rsidRPr="00B752C6" w:rsidRDefault="0080773C" w:rsidP="00162395">
            <w:pPr>
              <w:jc w:val="center"/>
              <w:rPr>
                <w:b/>
                <w:sz w:val="22"/>
                <w:szCs w:val="22"/>
              </w:rPr>
            </w:pPr>
            <w:r w:rsidRPr="00B752C6">
              <w:rPr>
                <w:b/>
                <w:sz w:val="22"/>
                <w:szCs w:val="22"/>
              </w:rPr>
              <w:t>(BC Albers)</w:t>
            </w:r>
          </w:p>
        </w:tc>
        <w:tc>
          <w:tcPr>
            <w:tcW w:w="1724" w:type="dxa"/>
            <w:vAlign w:val="center"/>
          </w:tcPr>
          <w:p w:rsidR="00B752C6" w:rsidRDefault="0080773C" w:rsidP="00162395">
            <w:pPr>
              <w:jc w:val="center"/>
              <w:rPr>
                <w:b/>
                <w:sz w:val="22"/>
                <w:szCs w:val="22"/>
              </w:rPr>
            </w:pPr>
            <w:r w:rsidRPr="00B752C6">
              <w:rPr>
                <w:b/>
                <w:sz w:val="22"/>
                <w:szCs w:val="22"/>
              </w:rPr>
              <w:t xml:space="preserve">Northing </w:t>
            </w:r>
          </w:p>
          <w:p w:rsidR="0080773C" w:rsidRPr="00B752C6" w:rsidRDefault="0080773C" w:rsidP="00162395">
            <w:pPr>
              <w:jc w:val="center"/>
              <w:rPr>
                <w:b/>
                <w:sz w:val="22"/>
                <w:szCs w:val="22"/>
              </w:rPr>
            </w:pPr>
            <w:r w:rsidRPr="00B752C6">
              <w:rPr>
                <w:b/>
                <w:sz w:val="22"/>
                <w:szCs w:val="22"/>
              </w:rPr>
              <w:t>(BC Albers)</w:t>
            </w:r>
          </w:p>
        </w:tc>
        <w:tc>
          <w:tcPr>
            <w:tcW w:w="1186" w:type="dxa"/>
          </w:tcPr>
          <w:p w:rsidR="0080773C" w:rsidRPr="00B752C6" w:rsidRDefault="0080773C" w:rsidP="00162395">
            <w:pPr>
              <w:jc w:val="center"/>
              <w:rPr>
                <w:b/>
                <w:sz w:val="22"/>
                <w:szCs w:val="22"/>
              </w:rPr>
            </w:pPr>
            <w:r w:rsidRPr="00B752C6">
              <w:rPr>
                <w:b/>
                <w:sz w:val="22"/>
                <w:szCs w:val="22"/>
              </w:rPr>
              <w:t>Priority in</w:t>
            </w:r>
          </w:p>
          <w:p w:rsidR="0080773C" w:rsidRPr="00B752C6" w:rsidRDefault="0080773C" w:rsidP="000C0C46">
            <w:pPr>
              <w:jc w:val="center"/>
              <w:rPr>
                <w:b/>
                <w:sz w:val="22"/>
                <w:szCs w:val="22"/>
              </w:rPr>
            </w:pPr>
            <w:r w:rsidRPr="00B752C6">
              <w:rPr>
                <w:b/>
                <w:sz w:val="22"/>
                <w:szCs w:val="22"/>
              </w:rPr>
              <w:t>Overall Strategy</w:t>
            </w:r>
          </w:p>
        </w:tc>
        <w:tc>
          <w:tcPr>
            <w:tcW w:w="4126" w:type="dxa"/>
            <w:vAlign w:val="center"/>
          </w:tcPr>
          <w:p w:rsidR="0080773C" w:rsidRPr="00B752C6" w:rsidRDefault="0080773C" w:rsidP="00162395">
            <w:pPr>
              <w:jc w:val="center"/>
              <w:rPr>
                <w:b/>
                <w:sz w:val="22"/>
                <w:szCs w:val="22"/>
              </w:rPr>
            </w:pPr>
            <w:r w:rsidRPr="00B752C6">
              <w:rPr>
                <w:b/>
                <w:sz w:val="22"/>
                <w:szCs w:val="22"/>
              </w:rPr>
              <w:t>Description</w:t>
            </w:r>
          </w:p>
        </w:tc>
      </w:tr>
      <w:tr w:rsidR="0080773C" w:rsidTr="000C0C46">
        <w:trPr>
          <w:cantSplit/>
        </w:trPr>
        <w:tc>
          <w:tcPr>
            <w:tcW w:w="1091" w:type="dxa"/>
            <w:vAlign w:val="center"/>
          </w:tcPr>
          <w:p w:rsidR="0080773C" w:rsidRPr="00B752C6" w:rsidRDefault="0080773C" w:rsidP="00162395">
            <w:pPr>
              <w:jc w:val="center"/>
              <w:rPr>
                <w:sz w:val="22"/>
                <w:szCs w:val="22"/>
              </w:rPr>
            </w:pPr>
            <w:r w:rsidRPr="00B752C6">
              <w:rPr>
                <w:sz w:val="22"/>
                <w:szCs w:val="22"/>
              </w:rPr>
              <w:t>COPW01</w:t>
            </w:r>
          </w:p>
        </w:tc>
        <w:tc>
          <w:tcPr>
            <w:tcW w:w="2061" w:type="dxa"/>
            <w:vAlign w:val="center"/>
          </w:tcPr>
          <w:p w:rsidR="00B752C6" w:rsidRPr="00B752C6" w:rsidRDefault="00B752C6">
            <w:pPr>
              <w:rPr>
                <w:sz w:val="22"/>
                <w:szCs w:val="22"/>
              </w:rPr>
            </w:pPr>
          </w:p>
          <w:p w:rsidR="00B752C6" w:rsidRPr="00B752C6" w:rsidRDefault="00B752C6" w:rsidP="00B752C6">
            <w:pPr>
              <w:jc w:val="center"/>
              <w:rPr>
                <w:sz w:val="22"/>
                <w:szCs w:val="22"/>
              </w:rPr>
            </w:pPr>
            <w:r w:rsidRPr="00B752C6">
              <w:rPr>
                <w:sz w:val="22"/>
                <w:szCs w:val="22"/>
              </w:rPr>
              <w:t>1,405,351.081</w:t>
            </w:r>
          </w:p>
          <w:p w:rsidR="0080773C" w:rsidRPr="00B752C6" w:rsidRDefault="0080773C" w:rsidP="00162395">
            <w:pPr>
              <w:jc w:val="center"/>
              <w:rPr>
                <w:sz w:val="22"/>
                <w:szCs w:val="22"/>
              </w:rPr>
            </w:pPr>
          </w:p>
        </w:tc>
        <w:tc>
          <w:tcPr>
            <w:tcW w:w="1724" w:type="dxa"/>
            <w:vAlign w:val="center"/>
          </w:tcPr>
          <w:p w:rsidR="0080773C" w:rsidRPr="00B752C6" w:rsidRDefault="0080773C" w:rsidP="00162395">
            <w:pPr>
              <w:jc w:val="center"/>
              <w:rPr>
                <w:sz w:val="22"/>
                <w:szCs w:val="22"/>
              </w:rPr>
            </w:pPr>
            <w:r w:rsidRPr="00B752C6">
              <w:rPr>
                <w:color w:val="000000"/>
                <w:sz w:val="22"/>
                <w:szCs w:val="22"/>
              </w:rPr>
              <w:t>484,965.701</w:t>
            </w:r>
          </w:p>
        </w:tc>
        <w:tc>
          <w:tcPr>
            <w:tcW w:w="1186" w:type="dxa"/>
          </w:tcPr>
          <w:p w:rsidR="0080773C" w:rsidRDefault="0080773C"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Pr="00B752C6" w:rsidRDefault="00467171" w:rsidP="00467171">
            <w:pPr>
              <w:jc w:val="center"/>
              <w:rPr>
                <w:sz w:val="22"/>
                <w:szCs w:val="22"/>
              </w:rPr>
            </w:pPr>
            <w:r>
              <w:rPr>
                <w:sz w:val="22"/>
                <w:szCs w:val="22"/>
              </w:rPr>
              <w:t>TBD</w:t>
            </w:r>
          </w:p>
        </w:tc>
        <w:tc>
          <w:tcPr>
            <w:tcW w:w="4126" w:type="dxa"/>
          </w:tcPr>
          <w:p w:rsidR="0080773C" w:rsidRPr="00B752C6" w:rsidRDefault="0080773C" w:rsidP="00AD2C36">
            <w:pPr>
              <w:rPr>
                <w:sz w:val="22"/>
                <w:szCs w:val="22"/>
              </w:rPr>
            </w:pPr>
            <w:r w:rsidRPr="00B752C6">
              <w:rPr>
                <w:sz w:val="22"/>
                <w:szCs w:val="22"/>
              </w:rPr>
              <w:t xml:space="preserve">Located in an existing plantation / cut block operated by Weyerhaeuser, adjacent to Young Creek FSR, </w:t>
            </w:r>
            <w:r w:rsidRPr="00467171">
              <w:rPr>
                <w:sz w:val="22"/>
                <w:szCs w:val="22"/>
              </w:rPr>
              <w:t>section 49-Y1-02 at an approximate elevation of 1890m.</w:t>
            </w:r>
            <w:r w:rsidR="0061372F" w:rsidRPr="00467171">
              <w:rPr>
                <w:sz w:val="22"/>
                <w:szCs w:val="22"/>
              </w:rPr>
              <w:t xml:space="preserve">  Access to the mast location is currently via Willis Creek and young creek roads.</w:t>
            </w:r>
            <w:r w:rsidRPr="00467171">
              <w:rPr>
                <w:sz w:val="22"/>
                <w:szCs w:val="22"/>
              </w:rPr>
              <w:t xml:space="preserve">  It is expected that a small amount of tree removal will be required for the installation.  </w:t>
            </w:r>
            <w:r w:rsidR="0061372F" w:rsidRPr="00467171">
              <w:rPr>
                <w:sz w:val="22"/>
                <w:szCs w:val="22"/>
              </w:rPr>
              <w:t>Should this met tower locations be used in the future, an assessment of the locations at this time will take place and a free use permit will be applied for if necessary</w:t>
            </w:r>
          </w:p>
        </w:tc>
      </w:tr>
      <w:tr w:rsidR="0080773C" w:rsidTr="000C0C46">
        <w:trPr>
          <w:cantSplit/>
        </w:trPr>
        <w:tc>
          <w:tcPr>
            <w:tcW w:w="1091" w:type="dxa"/>
            <w:vAlign w:val="center"/>
          </w:tcPr>
          <w:p w:rsidR="0080773C" w:rsidRPr="00B752C6" w:rsidRDefault="0080773C" w:rsidP="00162395">
            <w:pPr>
              <w:jc w:val="center"/>
              <w:rPr>
                <w:sz w:val="22"/>
                <w:szCs w:val="22"/>
              </w:rPr>
            </w:pPr>
            <w:r w:rsidRPr="00B752C6">
              <w:rPr>
                <w:sz w:val="22"/>
                <w:szCs w:val="22"/>
              </w:rPr>
              <w:t>COPW02</w:t>
            </w:r>
          </w:p>
        </w:tc>
        <w:tc>
          <w:tcPr>
            <w:tcW w:w="2061" w:type="dxa"/>
            <w:vAlign w:val="center"/>
          </w:tcPr>
          <w:p w:rsidR="0080773C" w:rsidRPr="00B752C6" w:rsidRDefault="0080773C" w:rsidP="00CC683C">
            <w:pPr>
              <w:jc w:val="center"/>
              <w:rPr>
                <w:sz w:val="22"/>
                <w:szCs w:val="22"/>
              </w:rPr>
            </w:pPr>
            <w:r w:rsidRPr="00B752C6">
              <w:rPr>
                <w:sz w:val="22"/>
                <w:szCs w:val="22"/>
              </w:rPr>
              <w:t>1,406,299.385</w:t>
            </w:r>
          </w:p>
        </w:tc>
        <w:tc>
          <w:tcPr>
            <w:tcW w:w="1724" w:type="dxa"/>
            <w:vAlign w:val="center"/>
          </w:tcPr>
          <w:p w:rsidR="0080773C" w:rsidRPr="00B752C6" w:rsidRDefault="0080773C" w:rsidP="0080773C">
            <w:pPr>
              <w:rPr>
                <w:sz w:val="22"/>
                <w:szCs w:val="22"/>
              </w:rPr>
            </w:pPr>
            <w:r w:rsidRPr="00B752C6">
              <w:rPr>
                <w:sz w:val="22"/>
                <w:szCs w:val="22"/>
              </w:rPr>
              <w:t xml:space="preserve"> 484,205.218</w:t>
            </w:r>
          </w:p>
        </w:tc>
        <w:tc>
          <w:tcPr>
            <w:tcW w:w="1186" w:type="dxa"/>
          </w:tcPr>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80773C" w:rsidRPr="00B752C6" w:rsidRDefault="0080773C" w:rsidP="00467171">
            <w:pPr>
              <w:jc w:val="center"/>
              <w:rPr>
                <w:sz w:val="22"/>
                <w:szCs w:val="22"/>
              </w:rPr>
            </w:pPr>
            <w:r w:rsidRPr="00B752C6">
              <w:rPr>
                <w:sz w:val="22"/>
                <w:szCs w:val="22"/>
              </w:rPr>
              <w:t>1</w:t>
            </w:r>
          </w:p>
        </w:tc>
        <w:tc>
          <w:tcPr>
            <w:tcW w:w="4126" w:type="dxa"/>
          </w:tcPr>
          <w:p w:rsidR="0080773C" w:rsidRPr="00B752C6" w:rsidRDefault="0080773C" w:rsidP="00181C2E">
            <w:pPr>
              <w:rPr>
                <w:sz w:val="22"/>
                <w:szCs w:val="22"/>
              </w:rPr>
            </w:pPr>
            <w:r w:rsidRPr="00B752C6">
              <w:rPr>
                <w:sz w:val="22"/>
                <w:szCs w:val="22"/>
              </w:rPr>
              <w:t xml:space="preserve">Located within a cut block that has recently been or will be harvested by Aspen Planners (AP) this year 20ll.   The mast is adjacent north of where Young Creek rd, section 49-Y1-02 and sections 49-Y1_04 meet at an approximate elevation of 1960m.  Access to the mast location is currently via Willis Creek and young creek roads.  Dialogue with AP will take place over the next 6 months whilst this application is in process to determine both of our intentions for the land and what level of tree stump removal and ground clearing may be required for the mast installation.   </w:t>
            </w:r>
          </w:p>
        </w:tc>
      </w:tr>
      <w:tr w:rsidR="0080773C" w:rsidTr="000C0C46">
        <w:trPr>
          <w:cantSplit/>
        </w:trPr>
        <w:tc>
          <w:tcPr>
            <w:tcW w:w="1091" w:type="dxa"/>
            <w:vAlign w:val="center"/>
          </w:tcPr>
          <w:p w:rsidR="0080773C" w:rsidRPr="00B752C6" w:rsidRDefault="0080773C" w:rsidP="00162395">
            <w:pPr>
              <w:jc w:val="center"/>
              <w:rPr>
                <w:sz w:val="22"/>
                <w:szCs w:val="22"/>
              </w:rPr>
            </w:pPr>
            <w:r w:rsidRPr="00B752C6">
              <w:rPr>
                <w:sz w:val="22"/>
                <w:szCs w:val="22"/>
              </w:rPr>
              <w:t>COPW03</w:t>
            </w:r>
          </w:p>
        </w:tc>
        <w:tc>
          <w:tcPr>
            <w:tcW w:w="2061" w:type="dxa"/>
            <w:vAlign w:val="center"/>
          </w:tcPr>
          <w:p w:rsidR="0080773C" w:rsidRPr="00B752C6" w:rsidRDefault="0080773C" w:rsidP="00162395">
            <w:pPr>
              <w:jc w:val="center"/>
              <w:rPr>
                <w:sz w:val="22"/>
                <w:szCs w:val="22"/>
              </w:rPr>
            </w:pPr>
            <w:r w:rsidRPr="00B752C6">
              <w:rPr>
                <w:sz w:val="22"/>
                <w:szCs w:val="22"/>
              </w:rPr>
              <w:t>1,407,942.82</w:t>
            </w:r>
          </w:p>
        </w:tc>
        <w:tc>
          <w:tcPr>
            <w:tcW w:w="1724" w:type="dxa"/>
            <w:vAlign w:val="center"/>
          </w:tcPr>
          <w:p w:rsidR="0080773C" w:rsidRPr="00B752C6" w:rsidRDefault="0080773C" w:rsidP="00162395">
            <w:pPr>
              <w:jc w:val="center"/>
              <w:rPr>
                <w:sz w:val="22"/>
                <w:szCs w:val="22"/>
              </w:rPr>
            </w:pPr>
            <w:r w:rsidRPr="00B752C6">
              <w:rPr>
                <w:sz w:val="22"/>
                <w:szCs w:val="22"/>
              </w:rPr>
              <w:t>484,680.367</w:t>
            </w:r>
          </w:p>
        </w:tc>
        <w:tc>
          <w:tcPr>
            <w:tcW w:w="1186" w:type="dxa"/>
          </w:tcPr>
          <w:p w:rsidR="0080773C" w:rsidRDefault="0080773C"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Pr="00B752C6" w:rsidRDefault="00467171" w:rsidP="00467171">
            <w:pPr>
              <w:jc w:val="center"/>
              <w:rPr>
                <w:sz w:val="22"/>
                <w:szCs w:val="22"/>
              </w:rPr>
            </w:pPr>
            <w:r>
              <w:rPr>
                <w:sz w:val="22"/>
                <w:szCs w:val="22"/>
              </w:rPr>
              <w:t>TBD</w:t>
            </w:r>
          </w:p>
        </w:tc>
        <w:tc>
          <w:tcPr>
            <w:tcW w:w="4126" w:type="dxa"/>
          </w:tcPr>
          <w:p w:rsidR="0080773C" w:rsidRPr="00B752C6" w:rsidRDefault="0080773C" w:rsidP="0061372F">
            <w:pPr>
              <w:rPr>
                <w:sz w:val="22"/>
                <w:szCs w:val="22"/>
              </w:rPr>
            </w:pPr>
            <w:r w:rsidRPr="00B752C6">
              <w:rPr>
                <w:sz w:val="22"/>
                <w:szCs w:val="22"/>
              </w:rPr>
              <w:t xml:space="preserve">Located in an existing plantation adjacent to Young Creek rd, section 49-Y1-10 at an approximate elevation of 1990m. </w:t>
            </w:r>
            <w:r w:rsidR="0061372F" w:rsidRPr="00B752C6">
              <w:rPr>
                <w:sz w:val="22"/>
                <w:szCs w:val="22"/>
              </w:rPr>
              <w:t xml:space="preserve">.  Access to the mast location </w:t>
            </w:r>
            <w:r w:rsidR="0061372F" w:rsidRPr="007E6F98">
              <w:rPr>
                <w:sz w:val="22"/>
                <w:szCs w:val="22"/>
              </w:rPr>
              <w:t xml:space="preserve">is currently via Willis Creek and young creek roads.  </w:t>
            </w:r>
            <w:r w:rsidR="00AD2C36" w:rsidRPr="007E6F98">
              <w:rPr>
                <w:sz w:val="22"/>
                <w:szCs w:val="22"/>
              </w:rPr>
              <w:t>Recent harvesting by AP has or is occurring all around this location</w:t>
            </w:r>
            <w:r w:rsidR="0061372F" w:rsidRPr="007E6F98">
              <w:rPr>
                <w:sz w:val="22"/>
                <w:szCs w:val="22"/>
              </w:rPr>
              <w:t xml:space="preserve">. </w:t>
            </w:r>
            <w:r w:rsidR="00AD2C36" w:rsidRPr="007E6F98">
              <w:rPr>
                <w:sz w:val="22"/>
                <w:szCs w:val="22"/>
              </w:rPr>
              <w:t>Should this met tower locations be used in the future, an assessment of the locations at this time will take place and a free use permit will be applied for if necessary</w:t>
            </w:r>
            <w:r w:rsidRPr="007E6F98">
              <w:rPr>
                <w:sz w:val="22"/>
                <w:szCs w:val="22"/>
              </w:rPr>
              <w:t>.</w:t>
            </w:r>
          </w:p>
        </w:tc>
      </w:tr>
      <w:tr w:rsidR="0080773C" w:rsidTr="000C0C46">
        <w:trPr>
          <w:cantSplit/>
        </w:trPr>
        <w:tc>
          <w:tcPr>
            <w:tcW w:w="1091" w:type="dxa"/>
            <w:vAlign w:val="center"/>
          </w:tcPr>
          <w:p w:rsidR="0080773C" w:rsidRPr="00B752C6" w:rsidRDefault="0080773C" w:rsidP="00162395">
            <w:pPr>
              <w:jc w:val="center"/>
              <w:rPr>
                <w:sz w:val="22"/>
                <w:szCs w:val="22"/>
              </w:rPr>
            </w:pPr>
            <w:r w:rsidRPr="00B752C6">
              <w:rPr>
                <w:sz w:val="22"/>
                <w:szCs w:val="22"/>
              </w:rPr>
              <w:lastRenderedPageBreak/>
              <w:t>COPW04</w:t>
            </w:r>
          </w:p>
        </w:tc>
        <w:tc>
          <w:tcPr>
            <w:tcW w:w="2061" w:type="dxa"/>
            <w:vAlign w:val="center"/>
          </w:tcPr>
          <w:p w:rsidR="0080773C" w:rsidRPr="00B752C6" w:rsidRDefault="0080773C" w:rsidP="00162395">
            <w:pPr>
              <w:jc w:val="center"/>
              <w:rPr>
                <w:sz w:val="22"/>
                <w:szCs w:val="22"/>
              </w:rPr>
            </w:pPr>
            <w:r w:rsidRPr="00B752C6">
              <w:rPr>
                <w:sz w:val="22"/>
                <w:szCs w:val="22"/>
              </w:rPr>
              <w:t>1,405,978.177</w:t>
            </w:r>
          </w:p>
        </w:tc>
        <w:tc>
          <w:tcPr>
            <w:tcW w:w="1724" w:type="dxa"/>
            <w:vAlign w:val="center"/>
          </w:tcPr>
          <w:p w:rsidR="0080773C" w:rsidRPr="00B752C6" w:rsidRDefault="0080773C" w:rsidP="00162395">
            <w:pPr>
              <w:jc w:val="center"/>
              <w:rPr>
                <w:sz w:val="22"/>
                <w:szCs w:val="22"/>
              </w:rPr>
            </w:pPr>
            <w:r w:rsidRPr="00B752C6">
              <w:rPr>
                <w:sz w:val="22"/>
                <w:szCs w:val="22"/>
              </w:rPr>
              <w:t>479,648.005</w:t>
            </w:r>
          </w:p>
        </w:tc>
        <w:tc>
          <w:tcPr>
            <w:tcW w:w="1186" w:type="dxa"/>
          </w:tcPr>
          <w:p w:rsidR="0080773C" w:rsidRPr="00B752C6" w:rsidRDefault="0080773C" w:rsidP="00467171">
            <w:pPr>
              <w:jc w:val="center"/>
              <w:rPr>
                <w:sz w:val="22"/>
                <w:szCs w:val="22"/>
              </w:rPr>
            </w:pPr>
          </w:p>
          <w:p w:rsidR="0080773C" w:rsidRPr="00B752C6" w:rsidRDefault="0080773C" w:rsidP="00467171">
            <w:pPr>
              <w:jc w:val="center"/>
              <w:rPr>
                <w:sz w:val="22"/>
                <w:szCs w:val="22"/>
              </w:rPr>
            </w:pPr>
          </w:p>
          <w:p w:rsidR="000C0C46" w:rsidRPr="00B752C6" w:rsidRDefault="000C0C46" w:rsidP="00467171">
            <w:pPr>
              <w:jc w:val="center"/>
              <w:rPr>
                <w:sz w:val="22"/>
                <w:szCs w:val="22"/>
              </w:rPr>
            </w:pPr>
          </w:p>
          <w:p w:rsidR="000C0C46" w:rsidRPr="00B752C6" w:rsidRDefault="000C0C46" w:rsidP="00467171">
            <w:pPr>
              <w:jc w:val="center"/>
              <w:rPr>
                <w:sz w:val="22"/>
                <w:szCs w:val="22"/>
              </w:rPr>
            </w:pPr>
          </w:p>
          <w:p w:rsidR="0080773C" w:rsidRDefault="0080773C" w:rsidP="00467171">
            <w:pPr>
              <w:jc w:val="center"/>
              <w:rPr>
                <w:sz w:val="22"/>
                <w:szCs w:val="22"/>
              </w:rPr>
            </w:pPr>
          </w:p>
          <w:p w:rsidR="00467171" w:rsidRDefault="00467171" w:rsidP="00467171">
            <w:pPr>
              <w:jc w:val="center"/>
              <w:rPr>
                <w:sz w:val="22"/>
                <w:szCs w:val="22"/>
              </w:rPr>
            </w:pPr>
          </w:p>
          <w:p w:rsidR="00467171" w:rsidRPr="00467171" w:rsidRDefault="00467171" w:rsidP="00467171">
            <w:pPr>
              <w:jc w:val="center"/>
              <w:rPr>
                <w:sz w:val="12"/>
                <w:szCs w:val="12"/>
              </w:rPr>
            </w:pPr>
          </w:p>
          <w:p w:rsidR="0080773C" w:rsidRPr="00B752C6" w:rsidRDefault="0080773C" w:rsidP="00467171">
            <w:pPr>
              <w:jc w:val="center"/>
              <w:rPr>
                <w:sz w:val="22"/>
                <w:szCs w:val="22"/>
              </w:rPr>
            </w:pPr>
            <w:r w:rsidRPr="00B752C6">
              <w:rPr>
                <w:sz w:val="22"/>
                <w:szCs w:val="22"/>
              </w:rPr>
              <w:t>3</w:t>
            </w:r>
          </w:p>
        </w:tc>
        <w:tc>
          <w:tcPr>
            <w:tcW w:w="4126" w:type="dxa"/>
          </w:tcPr>
          <w:p w:rsidR="0080773C" w:rsidRPr="00B752C6" w:rsidRDefault="0080773C" w:rsidP="00E90270">
            <w:pPr>
              <w:rPr>
                <w:sz w:val="22"/>
                <w:szCs w:val="22"/>
              </w:rPr>
            </w:pPr>
            <w:r w:rsidRPr="00B752C6">
              <w:rPr>
                <w:sz w:val="22"/>
                <w:szCs w:val="22"/>
              </w:rPr>
              <w:t xml:space="preserve">Located in an existing plantation adjacent to road section P52720.43 at an approximate elevation of 1870m.  Weyerhaeuser anticipate harvesting in </w:t>
            </w:r>
            <w:r w:rsidR="00E90270" w:rsidRPr="00B752C6">
              <w:rPr>
                <w:sz w:val="22"/>
                <w:szCs w:val="22"/>
              </w:rPr>
              <w:t>this area within the next</w:t>
            </w:r>
            <w:r w:rsidRPr="00B752C6">
              <w:rPr>
                <w:sz w:val="22"/>
                <w:szCs w:val="22"/>
              </w:rPr>
              <w:t xml:space="preserve"> 3-5 years.  It is expected that tree removal will b</w:t>
            </w:r>
            <w:r w:rsidR="0061372F" w:rsidRPr="00B752C6">
              <w:rPr>
                <w:sz w:val="22"/>
                <w:szCs w:val="22"/>
              </w:rPr>
              <w:t xml:space="preserve">e required for </w:t>
            </w:r>
            <w:r w:rsidR="00E90270" w:rsidRPr="00B752C6">
              <w:rPr>
                <w:sz w:val="22"/>
                <w:szCs w:val="22"/>
              </w:rPr>
              <w:t>a mast</w:t>
            </w:r>
            <w:r w:rsidR="0061372F" w:rsidRPr="00B752C6">
              <w:rPr>
                <w:sz w:val="22"/>
                <w:szCs w:val="22"/>
              </w:rPr>
              <w:t xml:space="preserve"> installation </w:t>
            </w:r>
            <w:r w:rsidR="00E90270" w:rsidRPr="00B752C6">
              <w:rPr>
                <w:sz w:val="22"/>
                <w:szCs w:val="22"/>
              </w:rPr>
              <w:t xml:space="preserve">at this location </w:t>
            </w:r>
            <w:r w:rsidR="0061372F" w:rsidRPr="00B752C6">
              <w:rPr>
                <w:sz w:val="22"/>
                <w:szCs w:val="22"/>
              </w:rPr>
              <w:t xml:space="preserve">and </w:t>
            </w:r>
            <w:r w:rsidR="00407AF4" w:rsidRPr="00B752C6">
              <w:rPr>
                <w:sz w:val="22"/>
                <w:szCs w:val="22"/>
              </w:rPr>
              <w:t xml:space="preserve">an </w:t>
            </w:r>
            <w:r w:rsidR="0061372F" w:rsidRPr="00B752C6">
              <w:rPr>
                <w:sz w:val="22"/>
                <w:szCs w:val="22"/>
              </w:rPr>
              <w:t>evaluation o</w:t>
            </w:r>
            <w:r w:rsidR="00407AF4" w:rsidRPr="00B752C6">
              <w:rPr>
                <w:sz w:val="22"/>
                <w:szCs w:val="22"/>
              </w:rPr>
              <w:t>f</w:t>
            </w:r>
            <w:r w:rsidR="0061372F" w:rsidRPr="00B752C6">
              <w:rPr>
                <w:sz w:val="22"/>
                <w:szCs w:val="22"/>
              </w:rPr>
              <w:t xml:space="preserve"> the </w:t>
            </w:r>
            <w:r w:rsidR="00CB587E" w:rsidRPr="00B752C6">
              <w:rPr>
                <w:sz w:val="22"/>
                <w:szCs w:val="22"/>
              </w:rPr>
              <w:t>forestry</w:t>
            </w:r>
            <w:r w:rsidR="0061372F" w:rsidRPr="00B752C6">
              <w:rPr>
                <w:sz w:val="22"/>
                <w:szCs w:val="22"/>
              </w:rPr>
              <w:t xml:space="preserve"> will take place if this met mast location is utilized</w:t>
            </w:r>
            <w:r w:rsidR="00407AF4" w:rsidRPr="00B752C6">
              <w:rPr>
                <w:sz w:val="22"/>
                <w:szCs w:val="22"/>
              </w:rPr>
              <w:t>.  A</w:t>
            </w:r>
            <w:r w:rsidR="0061372F" w:rsidRPr="00B752C6">
              <w:rPr>
                <w:sz w:val="22"/>
                <w:szCs w:val="22"/>
              </w:rPr>
              <w:t xml:space="preserve"> free use or license to cut permit will be applied for at that time.</w:t>
            </w:r>
            <w:r w:rsidR="000300FE" w:rsidRPr="00B752C6">
              <w:rPr>
                <w:sz w:val="22"/>
                <w:szCs w:val="22"/>
              </w:rPr>
              <w:t xml:space="preserve">  </w:t>
            </w:r>
            <w:r w:rsidR="00E90270" w:rsidRPr="00B752C6">
              <w:rPr>
                <w:sz w:val="22"/>
                <w:szCs w:val="22"/>
              </w:rPr>
              <w:t>Access to both COPW04 &amp; COPW05 I likely to change over the next couple of years due to the harvesting of pine beetle kill mentioned below.</w:t>
            </w:r>
          </w:p>
        </w:tc>
      </w:tr>
      <w:tr w:rsidR="0080773C" w:rsidTr="000C0C46">
        <w:trPr>
          <w:cantSplit/>
        </w:trPr>
        <w:tc>
          <w:tcPr>
            <w:tcW w:w="1091" w:type="dxa"/>
            <w:vAlign w:val="center"/>
          </w:tcPr>
          <w:p w:rsidR="0080773C" w:rsidRPr="00B752C6" w:rsidRDefault="0080773C" w:rsidP="00162395">
            <w:pPr>
              <w:jc w:val="center"/>
              <w:rPr>
                <w:sz w:val="22"/>
                <w:szCs w:val="22"/>
              </w:rPr>
            </w:pPr>
            <w:r w:rsidRPr="00B752C6">
              <w:rPr>
                <w:sz w:val="22"/>
                <w:szCs w:val="22"/>
              </w:rPr>
              <w:t>COPW05</w:t>
            </w:r>
          </w:p>
        </w:tc>
        <w:tc>
          <w:tcPr>
            <w:tcW w:w="2061" w:type="dxa"/>
            <w:vAlign w:val="center"/>
          </w:tcPr>
          <w:p w:rsidR="0080773C" w:rsidRPr="00B752C6" w:rsidRDefault="0080773C" w:rsidP="00162395">
            <w:pPr>
              <w:jc w:val="center"/>
              <w:rPr>
                <w:sz w:val="22"/>
                <w:szCs w:val="22"/>
              </w:rPr>
            </w:pPr>
            <w:r w:rsidRPr="00B752C6">
              <w:rPr>
                <w:sz w:val="22"/>
                <w:szCs w:val="22"/>
              </w:rPr>
              <w:t>1,408,059.665</w:t>
            </w:r>
          </w:p>
        </w:tc>
        <w:tc>
          <w:tcPr>
            <w:tcW w:w="1724" w:type="dxa"/>
            <w:vAlign w:val="center"/>
          </w:tcPr>
          <w:p w:rsidR="0080773C" w:rsidRPr="00B752C6" w:rsidRDefault="0080773C" w:rsidP="00162395">
            <w:pPr>
              <w:jc w:val="center"/>
              <w:rPr>
                <w:sz w:val="22"/>
                <w:szCs w:val="22"/>
              </w:rPr>
            </w:pPr>
            <w:r w:rsidRPr="00B752C6">
              <w:rPr>
                <w:sz w:val="22"/>
                <w:szCs w:val="22"/>
              </w:rPr>
              <w:t>479,559.645</w:t>
            </w:r>
          </w:p>
        </w:tc>
        <w:tc>
          <w:tcPr>
            <w:tcW w:w="1186" w:type="dxa"/>
          </w:tcPr>
          <w:p w:rsidR="0080773C" w:rsidRDefault="0080773C"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Default="00467171" w:rsidP="00467171">
            <w:pPr>
              <w:jc w:val="center"/>
              <w:rPr>
                <w:sz w:val="22"/>
                <w:szCs w:val="22"/>
              </w:rPr>
            </w:pPr>
          </w:p>
          <w:p w:rsidR="00467171" w:rsidRPr="00B752C6" w:rsidRDefault="00467171" w:rsidP="00467171">
            <w:pPr>
              <w:jc w:val="center"/>
              <w:rPr>
                <w:sz w:val="22"/>
                <w:szCs w:val="22"/>
              </w:rPr>
            </w:pPr>
            <w:r>
              <w:rPr>
                <w:sz w:val="22"/>
                <w:szCs w:val="22"/>
              </w:rPr>
              <w:t>TBD</w:t>
            </w:r>
          </w:p>
        </w:tc>
        <w:tc>
          <w:tcPr>
            <w:tcW w:w="4126" w:type="dxa"/>
          </w:tcPr>
          <w:p w:rsidR="0080773C" w:rsidRPr="00B752C6" w:rsidRDefault="0080773C" w:rsidP="00CB587E">
            <w:pPr>
              <w:rPr>
                <w:sz w:val="22"/>
                <w:szCs w:val="22"/>
              </w:rPr>
            </w:pPr>
            <w:r w:rsidRPr="00B752C6">
              <w:rPr>
                <w:sz w:val="22"/>
                <w:szCs w:val="22"/>
              </w:rPr>
              <w:t>Located in a mature pine forest containing beetle adjacent to road section P52720.40 at an approximate elevation of 1910m.  Weyerhaeuser anticipate harvesting in th</w:t>
            </w:r>
            <w:r w:rsidR="0061372F" w:rsidRPr="00B752C6">
              <w:rPr>
                <w:sz w:val="22"/>
                <w:szCs w:val="22"/>
              </w:rPr>
              <w:t>is</w:t>
            </w:r>
            <w:r w:rsidRPr="00B752C6">
              <w:rPr>
                <w:sz w:val="22"/>
                <w:szCs w:val="22"/>
              </w:rPr>
              <w:t xml:space="preserve"> area within </w:t>
            </w:r>
            <w:r w:rsidR="0061372F" w:rsidRPr="00B752C6">
              <w:rPr>
                <w:sz w:val="22"/>
                <w:szCs w:val="22"/>
              </w:rPr>
              <w:t xml:space="preserve">the next </w:t>
            </w:r>
            <w:r w:rsidRPr="00B752C6">
              <w:rPr>
                <w:sz w:val="22"/>
                <w:szCs w:val="22"/>
              </w:rPr>
              <w:t>1-3 years.</w:t>
            </w:r>
            <w:r w:rsidR="0061372F" w:rsidRPr="00B752C6">
              <w:rPr>
                <w:sz w:val="22"/>
                <w:szCs w:val="22"/>
              </w:rPr>
              <w:t xml:space="preserve">  Il is unlikely that WPBCI will want to install a mast on this location prior to</w:t>
            </w:r>
            <w:r w:rsidR="001C044A" w:rsidRPr="00B752C6">
              <w:rPr>
                <w:sz w:val="22"/>
                <w:szCs w:val="22"/>
              </w:rPr>
              <w:t xml:space="preserve"> the</w:t>
            </w:r>
            <w:r w:rsidR="0061372F" w:rsidRPr="00B752C6">
              <w:rPr>
                <w:sz w:val="22"/>
                <w:szCs w:val="22"/>
              </w:rPr>
              <w:t xml:space="preserve"> harvesting taking place.  </w:t>
            </w:r>
            <w:r w:rsidR="000300FE" w:rsidRPr="00B752C6">
              <w:rPr>
                <w:sz w:val="22"/>
                <w:szCs w:val="22"/>
              </w:rPr>
              <w:t>If required</w:t>
            </w:r>
            <w:r w:rsidR="00CB587E" w:rsidRPr="00B752C6">
              <w:rPr>
                <w:sz w:val="22"/>
                <w:szCs w:val="22"/>
              </w:rPr>
              <w:t>, an evaluation of the forestry and</w:t>
            </w:r>
            <w:r w:rsidR="000300FE" w:rsidRPr="00B752C6">
              <w:rPr>
                <w:sz w:val="22"/>
                <w:szCs w:val="22"/>
              </w:rPr>
              <w:t xml:space="preserve"> a free use or license to cut permit will be applied for </w:t>
            </w:r>
            <w:r w:rsidR="00CB587E" w:rsidRPr="00B752C6">
              <w:rPr>
                <w:sz w:val="22"/>
                <w:szCs w:val="22"/>
              </w:rPr>
              <w:t>prior to installation</w:t>
            </w:r>
            <w:r w:rsidR="000300FE" w:rsidRPr="00B752C6">
              <w:rPr>
                <w:sz w:val="22"/>
                <w:szCs w:val="22"/>
              </w:rPr>
              <w:t xml:space="preserve">.  </w:t>
            </w:r>
          </w:p>
        </w:tc>
      </w:tr>
    </w:tbl>
    <w:p w:rsidR="00162395" w:rsidRDefault="00467171" w:rsidP="00467171">
      <w:pPr>
        <w:rPr>
          <w:sz w:val="22"/>
          <w:szCs w:val="22"/>
        </w:rPr>
      </w:pPr>
      <w:r w:rsidRPr="00467171">
        <w:rPr>
          <w:sz w:val="22"/>
          <w:szCs w:val="22"/>
        </w:rPr>
        <w:t>*TBD- to be Determined</w:t>
      </w:r>
    </w:p>
    <w:p w:rsidR="00467171" w:rsidRPr="00467171" w:rsidRDefault="00467171" w:rsidP="00467171">
      <w:pPr>
        <w:rPr>
          <w:sz w:val="22"/>
          <w:szCs w:val="22"/>
        </w:rPr>
      </w:pPr>
    </w:p>
    <w:p w:rsidR="00B63459" w:rsidRPr="00E013A5" w:rsidRDefault="00B63459" w:rsidP="00B63459">
      <w:pPr>
        <w:pStyle w:val="Title"/>
      </w:pPr>
      <w:r>
        <w:t>Land Use &amp; Access</w:t>
      </w:r>
    </w:p>
    <w:p w:rsidR="00414F84" w:rsidRPr="0022021D" w:rsidRDefault="00A16089" w:rsidP="00004561">
      <w:pPr>
        <w:rPr>
          <w:sz w:val="22"/>
          <w:szCs w:val="22"/>
        </w:rPr>
      </w:pPr>
      <w:r w:rsidRPr="0022021D">
        <w:rPr>
          <w:sz w:val="22"/>
          <w:szCs w:val="22"/>
        </w:rPr>
        <w:t xml:space="preserve">The primary industry </w:t>
      </w:r>
      <w:r w:rsidR="00202853" w:rsidRPr="0022021D">
        <w:rPr>
          <w:sz w:val="22"/>
          <w:szCs w:val="22"/>
        </w:rPr>
        <w:t>in the area is f</w:t>
      </w:r>
      <w:r w:rsidRPr="0022021D">
        <w:rPr>
          <w:sz w:val="22"/>
          <w:szCs w:val="22"/>
        </w:rPr>
        <w:t xml:space="preserve">orestry and there are a number of active forestry operators within the IUP boundary.  Prior to submitting this LOO application, WPBCI submitted the proposed met mast locations to all known operators to determine their harvesting intentions and the status of road infrastructure and access in the vicinity of the met mast locations.  What became apparent through the feedback was that road infrastructure on site can change quite rapidly as new roads get built and others decommissioned, as such, the access roads detailed in the descriptions of the masts locations above are based on current conditions.  WPBCI is in dialogue with the operators and </w:t>
      </w:r>
      <w:r w:rsidR="00AB3020" w:rsidRPr="0022021D">
        <w:rPr>
          <w:rFonts w:cs="Arial"/>
          <w:sz w:val="22"/>
          <w:szCs w:val="22"/>
        </w:rPr>
        <w:t xml:space="preserve">Ministry of Forests, Lands and Natural Resource Operations </w:t>
      </w:r>
      <w:r w:rsidRPr="0022021D">
        <w:rPr>
          <w:sz w:val="22"/>
          <w:szCs w:val="22"/>
        </w:rPr>
        <w:t>to determine how to maintain the active status of these roads should they be scheduled for restoration.  A detailed access assessment will take place prior to any mast installations to determine the exact routes to be used closer to the time of tenure approval.  Relevant road works permits will be applied for if road work is necessary.  Further information relating to access can be provided to you on request during this application processing time.</w:t>
      </w:r>
      <w:r w:rsidR="00033A8D" w:rsidRPr="0022021D">
        <w:rPr>
          <w:sz w:val="22"/>
          <w:szCs w:val="22"/>
        </w:rPr>
        <w:t xml:space="preserve">  </w:t>
      </w:r>
    </w:p>
    <w:p w:rsidR="005843C3" w:rsidRPr="0022021D" w:rsidRDefault="005843C3" w:rsidP="00004561">
      <w:pPr>
        <w:rPr>
          <w:sz w:val="22"/>
          <w:szCs w:val="22"/>
        </w:rPr>
      </w:pPr>
    </w:p>
    <w:p w:rsidR="00004561" w:rsidRPr="0022021D" w:rsidRDefault="00033A8D" w:rsidP="00004561">
      <w:pPr>
        <w:rPr>
          <w:sz w:val="22"/>
          <w:szCs w:val="22"/>
        </w:rPr>
      </w:pPr>
      <w:r w:rsidRPr="0022021D">
        <w:rPr>
          <w:sz w:val="22"/>
          <w:szCs w:val="22"/>
        </w:rPr>
        <w:t>W</w:t>
      </w:r>
      <w:r w:rsidR="00414F84" w:rsidRPr="0022021D">
        <w:rPr>
          <w:sz w:val="22"/>
          <w:szCs w:val="22"/>
        </w:rPr>
        <w:t xml:space="preserve">here tree removal </w:t>
      </w:r>
      <w:r w:rsidRPr="0022021D">
        <w:rPr>
          <w:sz w:val="22"/>
          <w:szCs w:val="22"/>
        </w:rPr>
        <w:t xml:space="preserve">is </w:t>
      </w:r>
      <w:r w:rsidR="00414F84" w:rsidRPr="0022021D">
        <w:rPr>
          <w:sz w:val="22"/>
          <w:szCs w:val="22"/>
        </w:rPr>
        <w:t>required</w:t>
      </w:r>
      <w:r w:rsidRPr="0022021D">
        <w:rPr>
          <w:sz w:val="22"/>
          <w:szCs w:val="22"/>
        </w:rPr>
        <w:t>,</w:t>
      </w:r>
      <w:r w:rsidR="00414F84" w:rsidRPr="0022021D">
        <w:rPr>
          <w:sz w:val="22"/>
          <w:szCs w:val="22"/>
        </w:rPr>
        <w:t xml:space="preserve"> WPBCI will come to an agreement </w:t>
      </w:r>
      <w:r w:rsidRPr="0022021D">
        <w:rPr>
          <w:sz w:val="22"/>
          <w:szCs w:val="22"/>
        </w:rPr>
        <w:t xml:space="preserve">with the concerned operator prior to install </w:t>
      </w:r>
      <w:r w:rsidR="00414F84" w:rsidRPr="0022021D">
        <w:rPr>
          <w:sz w:val="22"/>
          <w:szCs w:val="22"/>
        </w:rPr>
        <w:t xml:space="preserve">to ensure adequate compensation </w:t>
      </w:r>
      <w:r w:rsidRPr="0022021D">
        <w:rPr>
          <w:sz w:val="22"/>
          <w:szCs w:val="22"/>
        </w:rPr>
        <w:t>and to determine replanting obligations.</w:t>
      </w:r>
    </w:p>
    <w:p w:rsidR="003D2DF0" w:rsidRDefault="003D2DF0" w:rsidP="006C2BA7">
      <w:pPr>
        <w:rPr>
          <w:sz w:val="22"/>
          <w:szCs w:val="22"/>
        </w:rPr>
      </w:pPr>
    </w:p>
    <w:p w:rsidR="007E6F98" w:rsidRDefault="007E6F98" w:rsidP="006C2BA7">
      <w:pPr>
        <w:rPr>
          <w:sz w:val="22"/>
          <w:szCs w:val="22"/>
        </w:rPr>
      </w:pPr>
    </w:p>
    <w:p w:rsidR="007E6F98" w:rsidRDefault="007E6F98" w:rsidP="006C2BA7">
      <w:pPr>
        <w:rPr>
          <w:sz w:val="22"/>
          <w:szCs w:val="22"/>
        </w:rPr>
      </w:pPr>
    </w:p>
    <w:p w:rsidR="007E6F98" w:rsidRDefault="007E6F98" w:rsidP="006C2BA7">
      <w:pPr>
        <w:rPr>
          <w:sz w:val="22"/>
          <w:szCs w:val="22"/>
        </w:rPr>
      </w:pPr>
    </w:p>
    <w:p w:rsidR="007E6F98" w:rsidRPr="0022021D" w:rsidRDefault="007E6F98" w:rsidP="006C2BA7">
      <w:pPr>
        <w:rPr>
          <w:sz w:val="22"/>
          <w:szCs w:val="22"/>
        </w:rPr>
      </w:pPr>
    </w:p>
    <w:p w:rsidR="007E2872" w:rsidRPr="00E013A5" w:rsidRDefault="007E2872" w:rsidP="00E013A5">
      <w:pPr>
        <w:pStyle w:val="Title"/>
      </w:pPr>
      <w:r w:rsidRPr="00E013A5">
        <w:lastRenderedPageBreak/>
        <w:t xml:space="preserve">Tower </w:t>
      </w:r>
      <w:r w:rsidR="00E013A5">
        <w:t>description</w:t>
      </w:r>
    </w:p>
    <w:p w:rsidR="009D408F" w:rsidRPr="0022021D" w:rsidRDefault="009D408F" w:rsidP="006C2BA7">
      <w:pPr>
        <w:rPr>
          <w:sz w:val="22"/>
          <w:szCs w:val="22"/>
        </w:rPr>
      </w:pPr>
      <w:r w:rsidRPr="0022021D">
        <w:rPr>
          <w:sz w:val="22"/>
          <w:szCs w:val="22"/>
        </w:rPr>
        <w:t>The met tower to be installed will be an 80m triangular lattice tower supported by guy wires</w:t>
      </w:r>
      <w:r w:rsidR="00BC0550" w:rsidRPr="0022021D">
        <w:rPr>
          <w:sz w:val="22"/>
          <w:szCs w:val="22"/>
        </w:rPr>
        <w:t xml:space="preserve"> at several heights along the tower</w:t>
      </w:r>
      <w:r w:rsidRPr="0022021D">
        <w:rPr>
          <w:sz w:val="22"/>
          <w:szCs w:val="22"/>
        </w:rPr>
        <w:t xml:space="preserve">. The base of the mast </w:t>
      </w:r>
      <w:r w:rsidR="009D6D97" w:rsidRPr="0022021D">
        <w:rPr>
          <w:sz w:val="22"/>
          <w:szCs w:val="22"/>
        </w:rPr>
        <w:t xml:space="preserve">will have a footprint up to </w:t>
      </w:r>
      <w:r w:rsidRPr="0022021D">
        <w:rPr>
          <w:sz w:val="22"/>
          <w:szCs w:val="22"/>
        </w:rPr>
        <w:t>5m x 5m</w:t>
      </w:r>
      <w:r w:rsidR="000C6A22" w:rsidRPr="0022021D">
        <w:rPr>
          <w:sz w:val="22"/>
          <w:szCs w:val="22"/>
        </w:rPr>
        <w:t xml:space="preserve"> </w:t>
      </w:r>
      <w:r w:rsidR="009404A5" w:rsidRPr="0022021D">
        <w:rPr>
          <w:sz w:val="22"/>
          <w:szCs w:val="22"/>
        </w:rPr>
        <w:t xml:space="preserve">and </w:t>
      </w:r>
      <w:r w:rsidR="008F338A" w:rsidRPr="0022021D">
        <w:rPr>
          <w:sz w:val="22"/>
          <w:szCs w:val="22"/>
        </w:rPr>
        <w:t xml:space="preserve">concrete to a depth of approximately 2.5m. The mast </w:t>
      </w:r>
      <w:r w:rsidR="009404A5" w:rsidRPr="0022021D">
        <w:rPr>
          <w:sz w:val="22"/>
          <w:szCs w:val="22"/>
        </w:rPr>
        <w:t>will be surrounded by t</w:t>
      </w:r>
      <w:r w:rsidR="002C4D98" w:rsidRPr="0022021D">
        <w:rPr>
          <w:sz w:val="22"/>
          <w:szCs w:val="22"/>
        </w:rPr>
        <w:t xml:space="preserve">hree </w:t>
      </w:r>
      <w:r w:rsidR="00A30215" w:rsidRPr="0022021D">
        <w:rPr>
          <w:sz w:val="22"/>
          <w:szCs w:val="22"/>
        </w:rPr>
        <w:t>anchor points</w:t>
      </w:r>
      <w:r w:rsidR="002C4D98" w:rsidRPr="0022021D">
        <w:rPr>
          <w:sz w:val="22"/>
          <w:szCs w:val="22"/>
        </w:rPr>
        <w:t xml:space="preserve"> located </w:t>
      </w:r>
      <w:r w:rsidR="00A30215" w:rsidRPr="0022021D">
        <w:rPr>
          <w:sz w:val="22"/>
          <w:szCs w:val="22"/>
        </w:rPr>
        <w:t xml:space="preserve">120° apart at </w:t>
      </w:r>
      <w:r w:rsidR="009404A5" w:rsidRPr="0022021D">
        <w:rPr>
          <w:sz w:val="22"/>
          <w:szCs w:val="22"/>
        </w:rPr>
        <w:t>approximately 65m from the base.</w:t>
      </w:r>
      <w:r w:rsidR="00A30215" w:rsidRPr="0022021D">
        <w:rPr>
          <w:sz w:val="22"/>
          <w:szCs w:val="22"/>
        </w:rPr>
        <w:t xml:space="preserve"> </w:t>
      </w:r>
      <w:r w:rsidR="003100B9" w:rsidRPr="0022021D">
        <w:rPr>
          <w:sz w:val="22"/>
          <w:szCs w:val="22"/>
        </w:rPr>
        <w:t>A geotechnical report will be carried out to determine the specific type of anchors required on site. For normal soil conditions dead man anchors will be used which will leave a footprint of approximately 1m x 1m</w:t>
      </w:r>
      <w:r w:rsidR="008F338A" w:rsidRPr="0022021D">
        <w:rPr>
          <w:sz w:val="22"/>
          <w:szCs w:val="22"/>
        </w:rPr>
        <w:t xml:space="preserve"> and contain concrete up to a depth of 2.5m</w:t>
      </w:r>
      <w:r w:rsidR="003100B9" w:rsidRPr="0022021D">
        <w:rPr>
          <w:sz w:val="22"/>
          <w:szCs w:val="22"/>
        </w:rPr>
        <w:t>. For softer soils the use of piles will be required and for rocky soil</w:t>
      </w:r>
      <w:r w:rsidR="008F338A" w:rsidRPr="0022021D">
        <w:rPr>
          <w:sz w:val="22"/>
          <w:szCs w:val="22"/>
        </w:rPr>
        <w:t>s</w:t>
      </w:r>
      <w:r w:rsidR="003100B9" w:rsidRPr="0022021D">
        <w:rPr>
          <w:sz w:val="22"/>
          <w:szCs w:val="22"/>
        </w:rPr>
        <w:t xml:space="preserve">, rock anchors will be utilized. </w:t>
      </w:r>
      <w:r w:rsidR="008F338A" w:rsidRPr="0022021D">
        <w:rPr>
          <w:sz w:val="22"/>
          <w:szCs w:val="22"/>
        </w:rPr>
        <w:t xml:space="preserve">The mast will support </w:t>
      </w:r>
      <w:r w:rsidR="0021793E" w:rsidRPr="0022021D">
        <w:rPr>
          <w:sz w:val="22"/>
          <w:szCs w:val="22"/>
        </w:rPr>
        <w:t xml:space="preserve">one vertical and </w:t>
      </w:r>
      <w:r w:rsidR="008F338A" w:rsidRPr="0022021D">
        <w:rPr>
          <w:sz w:val="22"/>
          <w:szCs w:val="22"/>
        </w:rPr>
        <w:t>nine horizontal boom</w:t>
      </w:r>
      <w:r w:rsidR="0021793E" w:rsidRPr="0022021D">
        <w:rPr>
          <w:sz w:val="22"/>
          <w:szCs w:val="22"/>
        </w:rPr>
        <w:t>s</w:t>
      </w:r>
      <w:r w:rsidR="008F338A" w:rsidRPr="0022021D">
        <w:rPr>
          <w:sz w:val="22"/>
          <w:szCs w:val="22"/>
        </w:rPr>
        <w:t xml:space="preserve"> to which wind direction and speed measuring instrumentation will be mounted. A sample drawing has been included with this application for illustrative purposes only.</w:t>
      </w:r>
    </w:p>
    <w:p w:rsidR="0021793E" w:rsidRPr="00BC0550" w:rsidRDefault="0021793E" w:rsidP="006C2BA7"/>
    <w:p w:rsidR="0021793E" w:rsidRPr="00E013A5" w:rsidRDefault="0021793E" w:rsidP="0021793E">
      <w:pPr>
        <w:pStyle w:val="Title"/>
      </w:pPr>
      <w:r>
        <w:t>Installation Method</w:t>
      </w:r>
    </w:p>
    <w:p w:rsidR="005843C3" w:rsidRPr="0022021D" w:rsidRDefault="00AF1D1D" w:rsidP="006C2BA7">
      <w:pPr>
        <w:rPr>
          <w:rFonts w:cs="Arial"/>
          <w:sz w:val="22"/>
          <w:szCs w:val="22"/>
          <w:highlight w:val="yellow"/>
        </w:rPr>
      </w:pPr>
      <w:r w:rsidRPr="0022021D">
        <w:rPr>
          <w:sz w:val="22"/>
          <w:szCs w:val="22"/>
        </w:rPr>
        <w:t>An e</w:t>
      </w:r>
      <w:r w:rsidR="0021793E" w:rsidRPr="0022021D">
        <w:rPr>
          <w:sz w:val="22"/>
          <w:szCs w:val="22"/>
        </w:rPr>
        <w:t xml:space="preserve">xperienced contractor </w:t>
      </w:r>
      <w:r w:rsidRPr="0022021D">
        <w:rPr>
          <w:sz w:val="22"/>
          <w:szCs w:val="22"/>
        </w:rPr>
        <w:t xml:space="preserve">will install each met tower </w:t>
      </w:r>
      <w:r w:rsidR="00E0771D" w:rsidRPr="0022021D">
        <w:rPr>
          <w:sz w:val="22"/>
          <w:szCs w:val="22"/>
        </w:rPr>
        <w:t xml:space="preserve">with a crew of four technicians over a period of three days </w:t>
      </w:r>
      <w:r w:rsidR="0021793E" w:rsidRPr="0022021D">
        <w:rPr>
          <w:sz w:val="22"/>
          <w:szCs w:val="22"/>
        </w:rPr>
        <w:t xml:space="preserve">via the use of </w:t>
      </w:r>
      <w:r w:rsidR="00B722A0" w:rsidRPr="0022021D">
        <w:rPr>
          <w:sz w:val="22"/>
          <w:szCs w:val="22"/>
        </w:rPr>
        <w:t>a boom truck</w:t>
      </w:r>
      <w:r w:rsidR="003F521C" w:rsidRPr="0022021D">
        <w:rPr>
          <w:sz w:val="22"/>
          <w:szCs w:val="22"/>
        </w:rPr>
        <w:t xml:space="preserve">. </w:t>
      </w:r>
      <w:r w:rsidR="00202853" w:rsidRPr="0022021D">
        <w:rPr>
          <w:sz w:val="22"/>
          <w:szCs w:val="22"/>
        </w:rPr>
        <w:t xml:space="preserve"> </w:t>
      </w:r>
      <w:r w:rsidR="00FE1393" w:rsidRPr="0022021D">
        <w:rPr>
          <w:sz w:val="22"/>
          <w:szCs w:val="22"/>
        </w:rPr>
        <w:t>If any ground clearing is required, this will be completed followed by the digging of holes for the three anchors and foundation</w:t>
      </w:r>
      <w:r w:rsidR="00B722A0" w:rsidRPr="0022021D">
        <w:rPr>
          <w:sz w:val="22"/>
          <w:szCs w:val="22"/>
        </w:rPr>
        <w:t xml:space="preserve">. </w:t>
      </w:r>
      <w:r w:rsidR="00202853" w:rsidRPr="0022021D">
        <w:rPr>
          <w:sz w:val="22"/>
          <w:szCs w:val="22"/>
        </w:rPr>
        <w:t>The holes</w:t>
      </w:r>
      <w:r w:rsidR="00B722A0" w:rsidRPr="0022021D">
        <w:rPr>
          <w:sz w:val="22"/>
          <w:szCs w:val="22"/>
        </w:rPr>
        <w:t xml:space="preserve"> will then be filled with </w:t>
      </w:r>
      <w:r w:rsidR="00FE1393" w:rsidRPr="0022021D">
        <w:rPr>
          <w:sz w:val="22"/>
          <w:szCs w:val="22"/>
        </w:rPr>
        <w:t>concrete</w:t>
      </w:r>
      <w:r w:rsidR="00B722A0" w:rsidRPr="0022021D">
        <w:rPr>
          <w:sz w:val="22"/>
          <w:szCs w:val="22"/>
        </w:rPr>
        <w:t xml:space="preserve"> by a </w:t>
      </w:r>
      <w:r w:rsidR="003F521C" w:rsidRPr="0022021D">
        <w:rPr>
          <w:sz w:val="22"/>
          <w:szCs w:val="22"/>
        </w:rPr>
        <w:t xml:space="preserve">cement </w:t>
      </w:r>
      <w:r w:rsidR="00B722A0" w:rsidRPr="0022021D">
        <w:rPr>
          <w:sz w:val="22"/>
          <w:szCs w:val="22"/>
        </w:rPr>
        <w:t xml:space="preserve">truck and the tower built up once the concrete has set. </w:t>
      </w:r>
      <w:r w:rsidR="00202853" w:rsidRPr="0022021D">
        <w:rPr>
          <w:sz w:val="22"/>
          <w:szCs w:val="22"/>
        </w:rPr>
        <w:t xml:space="preserve"> </w:t>
      </w:r>
      <w:r w:rsidR="00B722A0" w:rsidRPr="0022021D">
        <w:rPr>
          <w:sz w:val="22"/>
          <w:szCs w:val="22"/>
        </w:rPr>
        <w:t>Once the tower sections have been stacked</w:t>
      </w:r>
      <w:r w:rsidR="003F521C" w:rsidRPr="0022021D">
        <w:rPr>
          <w:sz w:val="22"/>
          <w:szCs w:val="22"/>
        </w:rPr>
        <w:t xml:space="preserve"> to their full height</w:t>
      </w:r>
      <w:r w:rsidR="00B722A0" w:rsidRPr="0022021D">
        <w:rPr>
          <w:sz w:val="22"/>
          <w:szCs w:val="22"/>
        </w:rPr>
        <w:t>, booms supporting instrumentation will be attached as the technician makes their way down the tower</w:t>
      </w:r>
      <w:r w:rsidR="00FE1393" w:rsidRPr="0022021D">
        <w:rPr>
          <w:sz w:val="22"/>
          <w:szCs w:val="22"/>
        </w:rPr>
        <w:t xml:space="preserve">.  </w:t>
      </w:r>
      <w:r w:rsidR="0021793E" w:rsidRPr="0022021D">
        <w:rPr>
          <w:sz w:val="22"/>
          <w:szCs w:val="22"/>
        </w:rPr>
        <w:t xml:space="preserve">Once installed, the tower will take up an area of approximately 1ha. The installation will be documented to ensure that our collected data is accurate and bankable. All provincial health and safety regulations will be adhered to. </w:t>
      </w:r>
      <w:r w:rsidR="00181C2E" w:rsidRPr="0022021D">
        <w:rPr>
          <w:sz w:val="22"/>
          <w:szCs w:val="22"/>
        </w:rPr>
        <w:t xml:space="preserve"> A road use permit will be obtained </w:t>
      </w:r>
      <w:r w:rsidR="00202853" w:rsidRPr="0022021D">
        <w:rPr>
          <w:sz w:val="22"/>
          <w:szCs w:val="22"/>
        </w:rPr>
        <w:t>f</w:t>
      </w:r>
      <w:r w:rsidR="00181C2E" w:rsidRPr="0022021D">
        <w:rPr>
          <w:sz w:val="22"/>
          <w:szCs w:val="22"/>
        </w:rPr>
        <w:t>o</w:t>
      </w:r>
      <w:r w:rsidR="00202853" w:rsidRPr="0022021D">
        <w:rPr>
          <w:sz w:val="22"/>
          <w:szCs w:val="22"/>
        </w:rPr>
        <w:t>r</w:t>
      </w:r>
      <w:r w:rsidR="00181C2E" w:rsidRPr="0022021D">
        <w:rPr>
          <w:sz w:val="22"/>
          <w:szCs w:val="22"/>
        </w:rPr>
        <w:t xml:space="preserve"> the </w:t>
      </w:r>
      <w:r w:rsidR="00AB3020" w:rsidRPr="0022021D">
        <w:rPr>
          <w:rFonts w:cs="Arial"/>
          <w:sz w:val="22"/>
          <w:szCs w:val="22"/>
        </w:rPr>
        <w:t>cement truck</w:t>
      </w:r>
      <w:r w:rsidR="00202853" w:rsidRPr="0022021D">
        <w:rPr>
          <w:rFonts w:cs="Arial"/>
          <w:sz w:val="22"/>
          <w:szCs w:val="22"/>
        </w:rPr>
        <w:t xml:space="preserve"> as advised by the Ministry of Forests, Lands and Natural Resource Operations.  </w:t>
      </w:r>
    </w:p>
    <w:p w:rsidR="006C2BA7" w:rsidRPr="0022021D" w:rsidRDefault="006C2BA7" w:rsidP="000E1282">
      <w:pPr>
        <w:jc w:val="both"/>
        <w:rPr>
          <w:rFonts w:ascii="Gill Sans MT" w:hAnsi="Gill Sans MT"/>
          <w:sz w:val="22"/>
          <w:szCs w:val="22"/>
        </w:rPr>
      </w:pPr>
    </w:p>
    <w:p w:rsidR="0021793E" w:rsidRPr="00E013A5" w:rsidRDefault="0021793E" w:rsidP="0021793E">
      <w:pPr>
        <w:pStyle w:val="Title"/>
      </w:pPr>
      <w:r>
        <w:t>Operation</w:t>
      </w:r>
    </w:p>
    <w:p w:rsidR="0021793E" w:rsidRPr="0022021D" w:rsidRDefault="000E1282" w:rsidP="006C2BA7">
      <w:pPr>
        <w:rPr>
          <w:sz w:val="22"/>
          <w:szCs w:val="22"/>
        </w:rPr>
      </w:pPr>
      <w:r w:rsidRPr="0022021D">
        <w:rPr>
          <w:sz w:val="22"/>
          <w:szCs w:val="22"/>
        </w:rPr>
        <w:t xml:space="preserve">Data recorded at the tower </w:t>
      </w:r>
      <w:r w:rsidR="0021793E" w:rsidRPr="0022021D">
        <w:rPr>
          <w:sz w:val="22"/>
          <w:szCs w:val="22"/>
        </w:rPr>
        <w:t>will be sent to WP</w:t>
      </w:r>
      <w:r w:rsidR="00202853" w:rsidRPr="0022021D">
        <w:rPr>
          <w:sz w:val="22"/>
          <w:szCs w:val="22"/>
        </w:rPr>
        <w:t>BCI</w:t>
      </w:r>
      <w:r w:rsidR="0021793E" w:rsidRPr="0022021D">
        <w:rPr>
          <w:sz w:val="22"/>
          <w:szCs w:val="22"/>
        </w:rPr>
        <w:t xml:space="preserve"> via a solar powered satellite link. This information will be </w:t>
      </w:r>
      <w:r w:rsidRPr="0022021D">
        <w:rPr>
          <w:sz w:val="22"/>
          <w:szCs w:val="22"/>
        </w:rPr>
        <w:t>quality checked weekly</w:t>
      </w:r>
      <w:r w:rsidR="0021793E" w:rsidRPr="0022021D">
        <w:rPr>
          <w:sz w:val="22"/>
          <w:szCs w:val="22"/>
        </w:rPr>
        <w:t xml:space="preserve"> to ensure accurate operation. Data collection will commence </w:t>
      </w:r>
      <w:r w:rsidRPr="0022021D">
        <w:rPr>
          <w:sz w:val="22"/>
          <w:szCs w:val="22"/>
        </w:rPr>
        <w:t>upon installation</w:t>
      </w:r>
      <w:r w:rsidR="0021793E" w:rsidRPr="0022021D">
        <w:rPr>
          <w:sz w:val="22"/>
          <w:szCs w:val="22"/>
        </w:rPr>
        <w:t xml:space="preserve"> and will continue </w:t>
      </w:r>
      <w:r w:rsidRPr="0022021D">
        <w:rPr>
          <w:sz w:val="22"/>
          <w:szCs w:val="22"/>
        </w:rPr>
        <w:t>for a minimum of 12 months and potentially up to three years.</w:t>
      </w:r>
      <w:r w:rsidR="0021793E" w:rsidRPr="0022021D">
        <w:rPr>
          <w:sz w:val="22"/>
          <w:szCs w:val="22"/>
        </w:rPr>
        <w:t xml:space="preserve"> Maintenance will occur bi-annually at </w:t>
      </w:r>
      <w:r w:rsidRPr="0022021D">
        <w:rPr>
          <w:sz w:val="22"/>
          <w:szCs w:val="22"/>
        </w:rPr>
        <w:t xml:space="preserve">a </w:t>
      </w:r>
      <w:r w:rsidR="0021793E" w:rsidRPr="0022021D">
        <w:rPr>
          <w:sz w:val="22"/>
          <w:szCs w:val="22"/>
        </w:rPr>
        <w:t xml:space="preserve">minimum, in addition to any occurrences of suspected malfunctioning equipment. </w:t>
      </w:r>
    </w:p>
    <w:p w:rsidR="009D408F" w:rsidRDefault="009D408F" w:rsidP="006C2BA7">
      <w:pPr>
        <w:rPr>
          <w:highlight w:val="yellow"/>
        </w:rPr>
      </w:pPr>
    </w:p>
    <w:p w:rsidR="00B52CB4" w:rsidRPr="00E013A5" w:rsidRDefault="00E013A5" w:rsidP="00E013A5">
      <w:pPr>
        <w:pStyle w:val="Title"/>
      </w:pPr>
      <w:r>
        <w:t>SODAR Description</w:t>
      </w:r>
    </w:p>
    <w:p w:rsidR="00BB4D3B" w:rsidRPr="0022021D" w:rsidRDefault="00B52CB4" w:rsidP="006C2BA7">
      <w:pPr>
        <w:rPr>
          <w:sz w:val="22"/>
          <w:szCs w:val="22"/>
        </w:rPr>
      </w:pPr>
      <w:r w:rsidRPr="0022021D">
        <w:rPr>
          <w:sz w:val="22"/>
          <w:szCs w:val="22"/>
        </w:rPr>
        <w:t xml:space="preserve">The SODAR unit has a </w:t>
      </w:r>
      <w:r w:rsidR="0014085A" w:rsidRPr="0022021D">
        <w:rPr>
          <w:sz w:val="22"/>
          <w:szCs w:val="22"/>
        </w:rPr>
        <w:t xml:space="preserve">2m x 3m </w:t>
      </w:r>
      <w:r w:rsidRPr="0022021D">
        <w:rPr>
          <w:sz w:val="22"/>
          <w:szCs w:val="22"/>
        </w:rPr>
        <w:t>footprint a</w:t>
      </w:r>
      <w:r w:rsidR="001B480B" w:rsidRPr="0022021D">
        <w:rPr>
          <w:sz w:val="22"/>
          <w:szCs w:val="22"/>
        </w:rPr>
        <w:t xml:space="preserve">nd is </w:t>
      </w:r>
      <w:r w:rsidR="0014085A" w:rsidRPr="0022021D">
        <w:rPr>
          <w:sz w:val="22"/>
          <w:szCs w:val="22"/>
        </w:rPr>
        <w:t>2m</w:t>
      </w:r>
      <w:r w:rsidR="001B480B" w:rsidRPr="0022021D">
        <w:rPr>
          <w:sz w:val="22"/>
          <w:szCs w:val="22"/>
        </w:rPr>
        <w:t xml:space="preserve"> high. The equipment emits sound waves which are </w:t>
      </w:r>
      <w:r w:rsidR="0021793E" w:rsidRPr="0022021D">
        <w:rPr>
          <w:sz w:val="22"/>
          <w:szCs w:val="22"/>
        </w:rPr>
        <w:t>measured</w:t>
      </w:r>
      <w:r w:rsidR="001B480B" w:rsidRPr="0022021D">
        <w:rPr>
          <w:sz w:val="22"/>
          <w:szCs w:val="22"/>
        </w:rPr>
        <w:t xml:space="preserve"> to calculate wind speed and direction at </w:t>
      </w:r>
      <w:r w:rsidR="0021793E" w:rsidRPr="0022021D">
        <w:rPr>
          <w:sz w:val="22"/>
          <w:szCs w:val="22"/>
        </w:rPr>
        <w:t>several</w:t>
      </w:r>
      <w:r w:rsidR="001B480B" w:rsidRPr="0022021D">
        <w:rPr>
          <w:sz w:val="22"/>
          <w:szCs w:val="22"/>
        </w:rPr>
        <w:t xml:space="preserve"> heights up to 200m. </w:t>
      </w:r>
      <w:r w:rsidR="0056727D" w:rsidRPr="0022021D">
        <w:rPr>
          <w:sz w:val="22"/>
          <w:szCs w:val="22"/>
        </w:rPr>
        <w:t xml:space="preserve">Weighing less than </w:t>
      </w:r>
      <w:r w:rsidR="0014085A" w:rsidRPr="0022021D">
        <w:rPr>
          <w:sz w:val="22"/>
          <w:szCs w:val="22"/>
        </w:rPr>
        <w:t xml:space="preserve">500kg, the unit </w:t>
      </w:r>
      <w:r w:rsidR="00706C29" w:rsidRPr="0022021D">
        <w:rPr>
          <w:sz w:val="22"/>
          <w:szCs w:val="22"/>
        </w:rPr>
        <w:t>would</w:t>
      </w:r>
      <w:r w:rsidR="0056727D" w:rsidRPr="0022021D">
        <w:rPr>
          <w:sz w:val="22"/>
          <w:szCs w:val="22"/>
        </w:rPr>
        <w:t xml:space="preserve"> be equipped</w:t>
      </w:r>
      <w:r w:rsidR="00393D9C" w:rsidRPr="0022021D">
        <w:rPr>
          <w:sz w:val="22"/>
          <w:szCs w:val="22"/>
        </w:rPr>
        <w:t xml:space="preserve"> with a small heater to melt snow</w:t>
      </w:r>
      <w:r w:rsidR="0014085A" w:rsidRPr="0022021D">
        <w:rPr>
          <w:sz w:val="22"/>
          <w:szCs w:val="22"/>
        </w:rPr>
        <w:t xml:space="preserve"> that would otherwise accumulate on the solar panels and prevent the unit from powering itself.</w:t>
      </w:r>
    </w:p>
    <w:p w:rsidR="0021793E" w:rsidRPr="0022021D" w:rsidRDefault="0021793E" w:rsidP="006C2BA7">
      <w:pPr>
        <w:rPr>
          <w:sz w:val="22"/>
          <w:szCs w:val="22"/>
          <w:highlight w:val="yellow"/>
        </w:rPr>
      </w:pPr>
    </w:p>
    <w:p w:rsidR="0021793E" w:rsidRPr="0022021D" w:rsidRDefault="0021793E" w:rsidP="006C2BA7">
      <w:pPr>
        <w:rPr>
          <w:sz w:val="22"/>
          <w:szCs w:val="22"/>
        </w:rPr>
      </w:pPr>
      <w:r w:rsidRPr="0022021D">
        <w:rPr>
          <w:sz w:val="22"/>
          <w:szCs w:val="22"/>
        </w:rPr>
        <w:t xml:space="preserve">The SODAR unit will be transported to site </w:t>
      </w:r>
      <w:r w:rsidR="00B76036" w:rsidRPr="0022021D">
        <w:rPr>
          <w:sz w:val="22"/>
          <w:szCs w:val="22"/>
        </w:rPr>
        <w:t xml:space="preserve">either by helicopter or </w:t>
      </w:r>
      <w:r w:rsidRPr="0022021D">
        <w:rPr>
          <w:sz w:val="22"/>
          <w:szCs w:val="22"/>
        </w:rPr>
        <w:t>truck</w:t>
      </w:r>
      <w:r w:rsidR="00B76036" w:rsidRPr="0022021D">
        <w:rPr>
          <w:sz w:val="22"/>
          <w:szCs w:val="22"/>
        </w:rPr>
        <w:t>, depending on access route viability.</w:t>
      </w:r>
      <w:r w:rsidRPr="0022021D">
        <w:rPr>
          <w:sz w:val="22"/>
          <w:szCs w:val="22"/>
        </w:rPr>
        <w:t xml:space="preserve"> It will be secured to the ground by </w:t>
      </w:r>
      <w:r w:rsidR="004859A7" w:rsidRPr="0022021D">
        <w:rPr>
          <w:sz w:val="22"/>
          <w:szCs w:val="22"/>
        </w:rPr>
        <w:t>meter</w:t>
      </w:r>
      <w:r w:rsidR="00B76036" w:rsidRPr="0022021D">
        <w:rPr>
          <w:sz w:val="22"/>
          <w:szCs w:val="22"/>
        </w:rPr>
        <w:t>-</w:t>
      </w:r>
      <w:r w:rsidRPr="0022021D">
        <w:rPr>
          <w:sz w:val="22"/>
          <w:szCs w:val="22"/>
        </w:rPr>
        <w:t xml:space="preserve">long anchor screws at each corner of the unit. </w:t>
      </w:r>
    </w:p>
    <w:p w:rsidR="00085560" w:rsidRPr="0022021D" w:rsidRDefault="002F3512" w:rsidP="006C2BA7">
      <w:pPr>
        <w:rPr>
          <w:sz w:val="22"/>
          <w:szCs w:val="22"/>
        </w:rPr>
      </w:pPr>
      <w:r w:rsidRPr="0022021D">
        <w:rPr>
          <w:sz w:val="22"/>
          <w:szCs w:val="22"/>
        </w:rPr>
        <w:t xml:space="preserve">Similar to the met tower, the </w:t>
      </w:r>
      <w:r w:rsidR="000E1282" w:rsidRPr="0022021D">
        <w:rPr>
          <w:sz w:val="22"/>
          <w:szCs w:val="22"/>
        </w:rPr>
        <w:t>SODAR unit</w:t>
      </w:r>
      <w:r w:rsidRPr="0022021D">
        <w:rPr>
          <w:sz w:val="22"/>
          <w:szCs w:val="22"/>
        </w:rPr>
        <w:t xml:space="preserve">’s recorded data will be sent via satellite link and quality checked weekly to ensure accurate operation. </w:t>
      </w:r>
      <w:r w:rsidR="00085560" w:rsidRPr="0022021D">
        <w:rPr>
          <w:sz w:val="22"/>
          <w:szCs w:val="22"/>
        </w:rPr>
        <w:t xml:space="preserve">After an initial period of calibration in close proximity </w:t>
      </w:r>
      <w:r w:rsidRPr="0022021D">
        <w:rPr>
          <w:sz w:val="22"/>
          <w:szCs w:val="22"/>
        </w:rPr>
        <w:t xml:space="preserve">to a </w:t>
      </w:r>
      <w:r w:rsidR="00085560" w:rsidRPr="0022021D">
        <w:rPr>
          <w:sz w:val="22"/>
          <w:szCs w:val="22"/>
        </w:rPr>
        <w:t xml:space="preserve">met tower, the SODAR unit will be </w:t>
      </w:r>
      <w:r w:rsidRPr="0022021D">
        <w:rPr>
          <w:sz w:val="22"/>
          <w:szCs w:val="22"/>
        </w:rPr>
        <w:t>relocated several times</w:t>
      </w:r>
      <w:r w:rsidR="00085560" w:rsidRPr="0022021D">
        <w:rPr>
          <w:sz w:val="22"/>
          <w:szCs w:val="22"/>
        </w:rPr>
        <w:t xml:space="preserve"> across </w:t>
      </w:r>
      <w:r w:rsidRPr="0022021D">
        <w:rPr>
          <w:sz w:val="22"/>
          <w:szCs w:val="22"/>
        </w:rPr>
        <w:t xml:space="preserve">the project area </w:t>
      </w:r>
      <w:r w:rsidR="00085560" w:rsidRPr="0022021D">
        <w:rPr>
          <w:sz w:val="22"/>
          <w:szCs w:val="22"/>
        </w:rPr>
        <w:t xml:space="preserve">to gain a better understanding of the wind regime on site. </w:t>
      </w:r>
    </w:p>
    <w:p w:rsidR="009A3139" w:rsidRPr="0022021D" w:rsidRDefault="009A3139" w:rsidP="000411BC">
      <w:pPr>
        <w:rPr>
          <w:rFonts w:ascii="Gill Sans MT" w:hAnsi="Gill Sans MT"/>
          <w:sz w:val="22"/>
          <w:szCs w:val="22"/>
        </w:rPr>
      </w:pPr>
    </w:p>
    <w:p w:rsidR="00906EA8" w:rsidRPr="0022021D" w:rsidRDefault="00906EA8" w:rsidP="000411BC">
      <w:pPr>
        <w:rPr>
          <w:rFonts w:ascii="Gill Sans MT" w:hAnsi="Gill Sans MT"/>
          <w:sz w:val="22"/>
          <w:szCs w:val="22"/>
        </w:rPr>
      </w:pPr>
    </w:p>
    <w:p w:rsidR="00FD4B76" w:rsidRPr="0022021D" w:rsidRDefault="00FD4B76" w:rsidP="00FD4B76">
      <w:pPr>
        <w:rPr>
          <w:rFonts w:ascii="Gill Sans MT" w:hAnsi="Gill Sans MT"/>
          <w:sz w:val="22"/>
          <w:szCs w:val="22"/>
        </w:rPr>
      </w:pPr>
      <w:r w:rsidRPr="0022021D">
        <w:rPr>
          <w:rFonts w:ascii="Gill Sans MT" w:hAnsi="Gill Sans MT"/>
          <w:sz w:val="22"/>
          <w:szCs w:val="22"/>
        </w:rPr>
        <w:lastRenderedPageBreak/>
        <w:t>The Licence of Occupation Management plan was generated by Mellissa Warren of Wind Prospect</w:t>
      </w:r>
      <w:r w:rsidR="007134D3">
        <w:rPr>
          <w:rFonts w:ascii="Gill Sans MT" w:hAnsi="Gill Sans MT"/>
          <w:sz w:val="22"/>
          <w:szCs w:val="22"/>
        </w:rPr>
        <w:t xml:space="preserve"> British Columbia Inc</w:t>
      </w:r>
      <w:r w:rsidRPr="0022021D">
        <w:rPr>
          <w:rFonts w:ascii="Gill Sans MT" w:hAnsi="Gill Sans MT"/>
          <w:sz w:val="22"/>
          <w:szCs w:val="22"/>
        </w:rPr>
        <w:t xml:space="preserve"> on the 15</w:t>
      </w:r>
      <w:r w:rsidRPr="0022021D">
        <w:rPr>
          <w:rFonts w:ascii="Gill Sans MT" w:hAnsi="Gill Sans MT"/>
          <w:sz w:val="22"/>
          <w:szCs w:val="22"/>
          <w:vertAlign w:val="superscript"/>
        </w:rPr>
        <w:t>th</w:t>
      </w:r>
      <w:r w:rsidRPr="0022021D">
        <w:rPr>
          <w:rFonts w:ascii="Gill Sans MT" w:hAnsi="Gill Sans MT"/>
          <w:sz w:val="22"/>
          <w:szCs w:val="22"/>
        </w:rPr>
        <w:t xml:space="preserve"> June 20</w:t>
      </w:r>
      <w:r w:rsidR="0022021D" w:rsidRPr="0022021D">
        <w:rPr>
          <w:rFonts w:ascii="Gill Sans MT" w:hAnsi="Gill Sans MT"/>
          <w:sz w:val="22"/>
          <w:szCs w:val="22"/>
        </w:rPr>
        <w:t>11</w:t>
      </w:r>
    </w:p>
    <w:p w:rsidR="00FD4B76" w:rsidRPr="0022021D" w:rsidRDefault="00FD4B76" w:rsidP="00FD4B76">
      <w:pPr>
        <w:rPr>
          <w:rFonts w:ascii="Gill Sans MT" w:hAnsi="Gill Sans MT"/>
          <w:sz w:val="22"/>
          <w:szCs w:val="22"/>
        </w:rPr>
      </w:pPr>
    </w:p>
    <w:p w:rsidR="00AD4DE7" w:rsidRDefault="00AD4DE7" w:rsidP="00B63459">
      <w:pPr>
        <w:rPr>
          <w:rFonts w:ascii="Gill Sans MT" w:hAnsi="Gill Sans MT"/>
          <w:sz w:val="22"/>
          <w:szCs w:val="22"/>
        </w:rPr>
      </w:pPr>
      <w:r w:rsidRPr="0022021D">
        <w:rPr>
          <w:rFonts w:ascii="Gill Sans MT" w:hAnsi="Gill Sans MT"/>
          <w:sz w:val="22"/>
          <w:szCs w:val="22"/>
        </w:rPr>
        <w:t>Signature</w:t>
      </w:r>
      <w:r w:rsidR="007134D3">
        <w:rPr>
          <w:rFonts w:ascii="Gill Sans MT" w:hAnsi="Gill Sans MT"/>
          <w:sz w:val="22"/>
          <w:szCs w:val="22"/>
        </w:rPr>
        <w:t xml:space="preserve">: </w:t>
      </w:r>
      <w:r w:rsidR="00D95BB0">
        <w:rPr>
          <w:rFonts w:ascii="Gill Sans MT" w:hAnsi="Gill Sans MT"/>
          <w:noProof/>
          <w:sz w:val="22"/>
          <w:szCs w:val="22"/>
          <w:lang w:val="en-CA" w:eastAsia="en-CA"/>
        </w:rPr>
        <w:drawing>
          <wp:inline distT="0" distB="0" distL="0" distR="0">
            <wp:extent cx="1143000" cy="342900"/>
            <wp:effectExtent l="19050" t="0" r="0" b="0"/>
            <wp:docPr id="2" name="Picture 2" descr="mellissa Warre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lissa Warren Sig"/>
                    <pic:cNvPicPr>
                      <a:picLocks noChangeAspect="1" noChangeArrowheads="1"/>
                    </pic:cNvPicPr>
                  </pic:nvPicPr>
                  <pic:blipFill>
                    <a:blip r:embed="rId9" cstate="print"/>
                    <a:srcRect/>
                    <a:stretch>
                      <a:fillRect/>
                    </a:stretch>
                  </pic:blipFill>
                  <pic:spPr bwMode="auto">
                    <a:xfrm>
                      <a:off x="0" y="0"/>
                      <a:ext cx="1143000" cy="342900"/>
                    </a:xfrm>
                    <a:prstGeom prst="rect">
                      <a:avLst/>
                    </a:prstGeom>
                    <a:noFill/>
                    <a:ln w="9525">
                      <a:noFill/>
                      <a:miter lim="800000"/>
                      <a:headEnd/>
                      <a:tailEnd/>
                    </a:ln>
                  </pic:spPr>
                </pic:pic>
              </a:graphicData>
            </a:graphic>
          </wp:inline>
        </w:drawing>
      </w:r>
      <w:r w:rsidR="00D97E6D" w:rsidRPr="0022021D">
        <w:rPr>
          <w:rFonts w:ascii="Gill Sans MT" w:hAnsi="Gill Sans MT"/>
          <w:sz w:val="22"/>
          <w:szCs w:val="22"/>
        </w:rPr>
        <w:tab/>
      </w:r>
      <w:r w:rsidR="00D97E6D" w:rsidRPr="0022021D">
        <w:rPr>
          <w:rFonts w:ascii="Gill Sans MT" w:hAnsi="Gill Sans MT"/>
          <w:sz w:val="22"/>
          <w:szCs w:val="22"/>
        </w:rPr>
        <w:tab/>
      </w:r>
      <w:r w:rsidR="00D97E6D" w:rsidRPr="0022021D">
        <w:rPr>
          <w:rFonts w:ascii="Gill Sans MT" w:hAnsi="Gill Sans MT"/>
          <w:sz w:val="22"/>
          <w:szCs w:val="22"/>
        </w:rPr>
        <w:tab/>
      </w:r>
      <w:r w:rsidR="00D97E6D" w:rsidRPr="0022021D">
        <w:rPr>
          <w:rFonts w:ascii="Gill Sans MT" w:hAnsi="Gill Sans MT"/>
          <w:sz w:val="22"/>
          <w:szCs w:val="22"/>
        </w:rPr>
        <w:tab/>
      </w:r>
      <w:r w:rsidR="00D97E6D" w:rsidRPr="0022021D">
        <w:rPr>
          <w:rFonts w:ascii="Gill Sans MT" w:hAnsi="Gill Sans MT"/>
          <w:sz w:val="22"/>
          <w:szCs w:val="22"/>
        </w:rPr>
        <w:tab/>
        <w:t xml:space="preserve">         </w:t>
      </w:r>
      <w:r w:rsidRPr="0022021D">
        <w:rPr>
          <w:rFonts w:ascii="Gill Sans MT" w:hAnsi="Gill Sans MT"/>
          <w:sz w:val="22"/>
          <w:szCs w:val="22"/>
        </w:rPr>
        <w:t>Date</w:t>
      </w:r>
      <w:r w:rsidR="00D97E6D" w:rsidRPr="0022021D">
        <w:rPr>
          <w:rFonts w:ascii="Gill Sans MT" w:hAnsi="Gill Sans MT"/>
          <w:sz w:val="22"/>
          <w:szCs w:val="22"/>
        </w:rPr>
        <w:t xml:space="preserve">: </w:t>
      </w:r>
      <w:r w:rsidR="00ED41BC">
        <w:rPr>
          <w:rFonts w:ascii="Gill Sans MT" w:hAnsi="Gill Sans MT"/>
          <w:sz w:val="22"/>
          <w:szCs w:val="22"/>
        </w:rPr>
        <w:t>15/06/2011</w:t>
      </w:r>
    </w:p>
    <w:p w:rsidR="007134D3" w:rsidRDefault="007134D3" w:rsidP="00B63459">
      <w:pPr>
        <w:rPr>
          <w:rFonts w:ascii="Gill Sans MT" w:hAnsi="Gill Sans MT"/>
          <w:sz w:val="22"/>
          <w:szCs w:val="22"/>
        </w:rPr>
      </w:pPr>
      <w:r>
        <w:rPr>
          <w:rFonts w:ascii="Gill Sans MT" w:hAnsi="Gill Sans MT"/>
          <w:sz w:val="22"/>
          <w:szCs w:val="22"/>
        </w:rPr>
        <w:tab/>
        <w:t xml:space="preserve">    </w:t>
      </w:r>
    </w:p>
    <w:p w:rsidR="007134D3" w:rsidRDefault="007134D3" w:rsidP="007134D3">
      <w:pPr>
        <w:ind w:firstLine="720"/>
        <w:rPr>
          <w:rFonts w:ascii="Gill Sans MT" w:hAnsi="Gill Sans MT"/>
          <w:sz w:val="22"/>
          <w:szCs w:val="22"/>
        </w:rPr>
      </w:pPr>
      <w:r>
        <w:rPr>
          <w:rFonts w:ascii="Gill Sans MT" w:hAnsi="Gill Sans MT"/>
          <w:sz w:val="22"/>
          <w:szCs w:val="22"/>
        </w:rPr>
        <w:t xml:space="preserve">    Mellissa Warren</w:t>
      </w:r>
    </w:p>
    <w:p w:rsidR="007134D3" w:rsidRDefault="007134D3" w:rsidP="00B63459">
      <w:pPr>
        <w:rPr>
          <w:rFonts w:ascii="Gill Sans MT" w:hAnsi="Gill Sans MT"/>
          <w:sz w:val="22"/>
          <w:szCs w:val="22"/>
        </w:rPr>
      </w:pPr>
      <w:r>
        <w:rPr>
          <w:rFonts w:ascii="Gill Sans MT" w:hAnsi="Gill Sans MT"/>
          <w:sz w:val="22"/>
          <w:szCs w:val="22"/>
        </w:rPr>
        <w:tab/>
        <w:t xml:space="preserve">    Development Manager</w:t>
      </w:r>
    </w:p>
    <w:p w:rsidR="007134D3" w:rsidRPr="0022021D" w:rsidRDefault="007134D3" w:rsidP="00B63459">
      <w:pPr>
        <w:rPr>
          <w:rFonts w:ascii="Gill Sans MT" w:hAnsi="Gill Sans MT"/>
          <w:sz w:val="22"/>
          <w:szCs w:val="22"/>
        </w:rPr>
      </w:pPr>
      <w:r>
        <w:rPr>
          <w:rFonts w:ascii="Gill Sans MT" w:hAnsi="Gill Sans MT"/>
          <w:sz w:val="22"/>
          <w:szCs w:val="22"/>
        </w:rPr>
        <w:tab/>
        <w:t xml:space="preserve">    Wind Prospect BC Inc</w:t>
      </w:r>
    </w:p>
    <w:sectPr w:rsidR="007134D3" w:rsidRPr="0022021D" w:rsidSect="00AD4DE7">
      <w:headerReference w:type="default" r:id="rId10"/>
      <w:footerReference w:type="default" r:id="rId11"/>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DC" w:rsidRDefault="009125DC">
      <w:r>
        <w:separator/>
      </w:r>
    </w:p>
  </w:endnote>
  <w:endnote w:type="continuationSeparator" w:id="0">
    <w:p w:rsidR="009125DC" w:rsidRDefault="00912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23967"/>
      <w:docPartObj>
        <w:docPartGallery w:val="Page Numbers (Bottom of Page)"/>
        <w:docPartUnique/>
      </w:docPartObj>
    </w:sdtPr>
    <w:sdtContent>
      <w:p w:rsidR="009125DC" w:rsidRDefault="0060588A">
        <w:pPr>
          <w:pStyle w:val="Footer"/>
          <w:jc w:val="right"/>
        </w:pPr>
        <w:fldSimple w:instr=" PAGE   \* MERGEFORMAT ">
          <w:r w:rsidR="0052797F">
            <w:rPr>
              <w:noProof/>
            </w:rPr>
            <w:t>1</w:t>
          </w:r>
        </w:fldSimple>
      </w:p>
    </w:sdtContent>
  </w:sdt>
  <w:p w:rsidR="009125DC" w:rsidRDefault="009125DC" w:rsidP="00E60E2E">
    <w:pPr>
      <w:pStyle w:val="Footer"/>
      <w:tabs>
        <w:tab w:val="clear" w:pos="4320"/>
        <w:tab w:val="clear" w:pos="8640"/>
        <w:tab w:val="left" w:pos="373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DC" w:rsidRDefault="009125DC">
      <w:r>
        <w:separator/>
      </w:r>
    </w:p>
  </w:footnote>
  <w:footnote w:type="continuationSeparator" w:id="0">
    <w:p w:rsidR="009125DC" w:rsidRDefault="00912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DC" w:rsidRDefault="009125DC" w:rsidP="008F338A">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873"/>
    <w:multiLevelType w:val="hybridMultilevel"/>
    <w:tmpl w:val="FB8E3B96"/>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FE7AB2"/>
    <w:multiLevelType w:val="hybridMultilevel"/>
    <w:tmpl w:val="DF00C4B6"/>
    <w:lvl w:ilvl="0" w:tplc="EC3ECA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Formatting/>
  <w:defaultTabStop w:val="720"/>
  <w:evenAndOddHeaders/>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202F80"/>
    <w:rsid w:val="00004561"/>
    <w:rsid w:val="00020684"/>
    <w:rsid w:val="0002093F"/>
    <w:rsid w:val="00021FA9"/>
    <w:rsid w:val="000300FE"/>
    <w:rsid w:val="00033A8D"/>
    <w:rsid w:val="0003721C"/>
    <w:rsid w:val="000411BC"/>
    <w:rsid w:val="00047075"/>
    <w:rsid w:val="00050D20"/>
    <w:rsid w:val="00061104"/>
    <w:rsid w:val="00063378"/>
    <w:rsid w:val="00073353"/>
    <w:rsid w:val="00085560"/>
    <w:rsid w:val="00086877"/>
    <w:rsid w:val="00094055"/>
    <w:rsid w:val="00094BC7"/>
    <w:rsid w:val="000A620B"/>
    <w:rsid w:val="000B2BE8"/>
    <w:rsid w:val="000C0C46"/>
    <w:rsid w:val="000C1746"/>
    <w:rsid w:val="000C6A22"/>
    <w:rsid w:val="000D1856"/>
    <w:rsid w:val="000E1282"/>
    <w:rsid w:val="000F5C5C"/>
    <w:rsid w:val="00116A8E"/>
    <w:rsid w:val="00131E7F"/>
    <w:rsid w:val="00137159"/>
    <w:rsid w:val="0014085A"/>
    <w:rsid w:val="00144A59"/>
    <w:rsid w:val="001477C4"/>
    <w:rsid w:val="00151D2C"/>
    <w:rsid w:val="00162395"/>
    <w:rsid w:val="00177655"/>
    <w:rsid w:val="00181C2E"/>
    <w:rsid w:val="001A5F5A"/>
    <w:rsid w:val="001A6876"/>
    <w:rsid w:val="001B143F"/>
    <w:rsid w:val="001B480B"/>
    <w:rsid w:val="001C044A"/>
    <w:rsid w:val="001C5FE4"/>
    <w:rsid w:val="001E1787"/>
    <w:rsid w:val="00202853"/>
    <w:rsid w:val="00202F80"/>
    <w:rsid w:val="00203E83"/>
    <w:rsid w:val="002135A5"/>
    <w:rsid w:val="00216B18"/>
    <w:rsid w:val="0021793E"/>
    <w:rsid w:val="00220080"/>
    <w:rsid w:val="0022021D"/>
    <w:rsid w:val="00232EF7"/>
    <w:rsid w:val="0026031B"/>
    <w:rsid w:val="00260E44"/>
    <w:rsid w:val="00261C2B"/>
    <w:rsid w:val="002A17CE"/>
    <w:rsid w:val="002B12DD"/>
    <w:rsid w:val="002C04D8"/>
    <w:rsid w:val="002C4D98"/>
    <w:rsid w:val="002C4FAF"/>
    <w:rsid w:val="002D4746"/>
    <w:rsid w:val="002D5123"/>
    <w:rsid w:val="002F3512"/>
    <w:rsid w:val="00303E6A"/>
    <w:rsid w:val="003067F8"/>
    <w:rsid w:val="003100B9"/>
    <w:rsid w:val="0031064D"/>
    <w:rsid w:val="00317C49"/>
    <w:rsid w:val="003556DA"/>
    <w:rsid w:val="00364311"/>
    <w:rsid w:val="003714E3"/>
    <w:rsid w:val="003744FF"/>
    <w:rsid w:val="003821A2"/>
    <w:rsid w:val="00393D9C"/>
    <w:rsid w:val="003B3B20"/>
    <w:rsid w:val="003C178D"/>
    <w:rsid w:val="003C3A7F"/>
    <w:rsid w:val="003D2DF0"/>
    <w:rsid w:val="003D35B0"/>
    <w:rsid w:val="003D4702"/>
    <w:rsid w:val="003D4F1C"/>
    <w:rsid w:val="003F521C"/>
    <w:rsid w:val="00407AF4"/>
    <w:rsid w:val="00414F84"/>
    <w:rsid w:val="00432A66"/>
    <w:rsid w:val="0043767D"/>
    <w:rsid w:val="00447874"/>
    <w:rsid w:val="00447BA2"/>
    <w:rsid w:val="004557FB"/>
    <w:rsid w:val="00466456"/>
    <w:rsid w:val="00467171"/>
    <w:rsid w:val="0047321D"/>
    <w:rsid w:val="004859A7"/>
    <w:rsid w:val="00492203"/>
    <w:rsid w:val="004A1325"/>
    <w:rsid w:val="004B0628"/>
    <w:rsid w:val="004D2679"/>
    <w:rsid w:val="004D3EFC"/>
    <w:rsid w:val="004E4FDA"/>
    <w:rsid w:val="004E5E76"/>
    <w:rsid w:val="004F07DC"/>
    <w:rsid w:val="004F643F"/>
    <w:rsid w:val="0050102B"/>
    <w:rsid w:val="00502305"/>
    <w:rsid w:val="00507DD8"/>
    <w:rsid w:val="0051266B"/>
    <w:rsid w:val="00523CBD"/>
    <w:rsid w:val="00526650"/>
    <w:rsid w:val="0052797F"/>
    <w:rsid w:val="00540ED0"/>
    <w:rsid w:val="005446A1"/>
    <w:rsid w:val="00556F0F"/>
    <w:rsid w:val="0056727D"/>
    <w:rsid w:val="005729CF"/>
    <w:rsid w:val="005843C3"/>
    <w:rsid w:val="00584B7E"/>
    <w:rsid w:val="00594BDD"/>
    <w:rsid w:val="005A5C91"/>
    <w:rsid w:val="005B72A2"/>
    <w:rsid w:val="005D233F"/>
    <w:rsid w:val="005D75C0"/>
    <w:rsid w:val="005E0D3C"/>
    <w:rsid w:val="0060029B"/>
    <w:rsid w:val="00601FC4"/>
    <w:rsid w:val="00605091"/>
    <w:rsid w:val="0060588A"/>
    <w:rsid w:val="00612771"/>
    <w:rsid w:val="0061372F"/>
    <w:rsid w:val="00617950"/>
    <w:rsid w:val="0062146A"/>
    <w:rsid w:val="006346C9"/>
    <w:rsid w:val="006450F2"/>
    <w:rsid w:val="006522AE"/>
    <w:rsid w:val="006566E4"/>
    <w:rsid w:val="00661A5F"/>
    <w:rsid w:val="00662606"/>
    <w:rsid w:val="00671EF2"/>
    <w:rsid w:val="00682D53"/>
    <w:rsid w:val="006C1935"/>
    <w:rsid w:val="006C2BA7"/>
    <w:rsid w:val="006D78EA"/>
    <w:rsid w:val="006D7AF2"/>
    <w:rsid w:val="006F227D"/>
    <w:rsid w:val="00706C29"/>
    <w:rsid w:val="007134D3"/>
    <w:rsid w:val="00727E97"/>
    <w:rsid w:val="007314D0"/>
    <w:rsid w:val="007328C5"/>
    <w:rsid w:val="00737FF5"/>
    <w:rsid w:val="00740AB3"/>
    <w:rsid w:val="00740F9A"/>
    <w:rsid w:val="007474F8"/>
    <w:rsid w:val="007735F9"/>
    <w:rsid w:val="007768A9"/>
    <w:rsid w:val="007A2AB9"/>
    <w:rsid w:val="007A33DE"/>
    <w:rsid w:val="007A41EC"/>
    <w:rsid w:val="007A4F1D"/>
    <w:rsid w:val="007B2716"/>
    <w:rsid w:val="007E2872"/>
    <w:rsid w:val="007E438F"/>
    <w:rsid w:val="007E6F98"/>
    <w:rsid w:val="007E7523"/>
    <w:rsid w:val="007F24D2"/>
    <w:rsid w:val="007F6FD6"/>
    <w:rsid w:val="00804836"/>
    <w:rsid w:val="0080773C"/>
    <w:rsid w:val="0081253C"/>
    <w:rsid w:val="00831DD7"/>
    <w:rsid w:val="00834CE3"/>
    <w:rsid w:val="00840A39"/>
    <w:rsid w:val="00843D52"/>
    <w:rsid w:val="00846798"/>
    <w:rsid w:val="0084692C"/>
    <w:rsid w:val="00866164"/>
    <w:rsid w:val="008716E9"/>
    <w:rsid w:val="008A5349"/>
    <w:rsid w:val="008A61DA"/>
    <w:rsid w:val="008B0A4C"/>
    <w:rsid w:val="008C0E0B"/>
    <w:rsid w:val="008C4031"/>
    <w:rsid w:val="008D7A2D"/>
    <w:rsid w:val="008F338A"/>
    <w:rsid w:val="008F4B71"/>
    <w:rsid w:val="008F70D4"/>
    <w:rsid w:val="00906EA8"/>
    <w:rsid w:val="009125DC"/>
    <w:rsid w:val="0091740C"/>
    <w:rsid w:val="00927C3A"/>
    <w:rsid w:val="00935C30"/>
    <w:rsid w:val="009404A5"/>
    <w:rsid w:val="0096712F"/>
    <w:rsid w:val="00984078"/>
    <w:rsid w:val="00987062"/>
    <w:rsid w:val="0099122C"/>
    <w:rsid w:val="00991A36"/>
    <w:rsid w:val="009A3139"/>
    <w:rsid w:val="009A59ED"/>
    <w:rsid w:val="009B1B1D"/>
    <w:rsid w:val="009D1BB9"/>
    <w:rsid w:val="009D408F"/>
    <w:rsid w:val="009D6D97"/>
    <w:rsid w:val="009E7920"/>
    <w:rsid w:val="009F6B4B"/>
    <w:rsid w:val="009F7399"/>
    <w:rsid w:val="00A00DF4"/>
    <w:rsid w:val="00A12581"/>
    <w:rsid w:val="00A15FC1"/>
    <w:rsid w:val="00A16089"/>
    <w:rsid w:val="00A30215"/>
    <w:rsid w:val="00A3493B"/>
    <w:rsid w:val="00A62DF9"/>
    <w:rsid w:val="00A65CDC"/>
    <w:rsid w:val="00A82250"/>
    <w:rsid w:val="00A84A80"/>
    <w:rsid w:val="00A9051F"/>
    <w:rsid w:val="00A94037"/>
    <w:rsid w:val="00AA5529"/>
    <w:rsid w:val="00AB3020"/>
    <w:rsid w:val="00AB3DD8"/>
    <w:rsid w:val="00AB689F"/>
    <w:rsid w:val="00AB6CDA"/>
    <w:rsid w:val="00AD2C36"/>
    <w:rsid w:val="00AD4D32"/>
    <w:rsid w:val="00AD4DE7"/>
    <w:rsid w:val="00AD5F47"/>
    <w:rsid w:val="00AD7D74"/>
    <w:rsid w:val="00AE090E"/>
    <w:rsid w:val="00AF1D1D"/>
    <w:rsid w:val="00AF5331"/>
    <w:rsid w:val="00B03D18"/>
    <w:rsid w:val="00B1125F"/>
    <w:rsid w:val="00B17618"/>
    <w:rsid w:val="00B17B0C"/>
    <w:rsid w:val="00B52CB4"/>
    <w:rsid w:val="00B63459"/>
    <w:rsid w:val="00B70311"/>
    <w:rsid w:val="00B722A0"/>
    <w:rsid w:val="00B752C6"/>
    <w:rsid w:val="00B76036"/>
    <w:rsid w:val="00B80A59"/>
    <w:rsid w:val="00B92C82"/>
    <w:rsid w:val="00BA244D"/>
    <w:rsid w:val="00BA4EF4"/>
    <w:rsid w:val="00BB4D3B"/>
    <w:rsid w:val="00BC0550"/>
    <w:rsid w:val="00BC394A"/>
    <w:rsid w:val="00BD1238"/>
    <w:rsid w:val="00BE0D2A"/>
    <w:rsid w:val="00BE121F"/>
    <w:rsid w:val="00C1589C"/>
    <w:rsid w:val="00C173D6"/>
    <w:rsid w:val="00C17D2D"/>
    <w:rsid w:val="00C72C54"/>
    <w:rsid w:val="00C800D7"/>
    <w:rsid w:val="00C83552"/>
    <w:rsid w:val="00CA1397"/>
    <w:rsid w:val="00CA5385"/>
    <w:rsid w:val="00CA7F39"/>
    <w:rsid w:val="00CB587E"/>
    <w:rsid w:val="00CB723A"/>
    <w:rsid w:val="00CC44F4"/>
    <w:rsid w:val="00CC683C"/>
    <w:rsid w:val="00CD05FB"/>
    <w:rsid w:val="00CD0EC1"/>
    <w:rsid w:val="00CF0275"/>
    <w:rsid w:val="00D02C60"/>
    <w:rsid w:val="00D15B79"/>
    <w:rsid w:val="00D26AFE"/>
    <w:rsid w:val="00D27FF6"/>
    <w:rsid w:val="00D301E2"/>
    <w:rsid w:val="00D3792A"/>
    <w:rsid w:val="00D4269F"/>
    <w:rsid w:val="00D516A8"/>
    <w:rsid w:val="00D60E48"/>
    <w:rsid w:val="00D70F13"/>
    <w:rsid w:val="00D91C59"/>
    <w:rsid w:val="00D95BB0"/>
    <w:rsid w:val="00D96A1A"/>
    <w:rsid w:val="00D97E6D"/>
    <w:rsid w:val="00DD3727"/>
    <w:rsid w:val="00DE5D02"/>
    <w:rsid w:val="00E013A5"/>
    <w:rsid w:val="00E04A07"/>
    <w:rsid w:val="00E0771D"/>
    <w:rsid w:val="00E115C8"/>
    <w:rsid w:val="00E14D28"/>
    <w:rsid w:val="00E34DFF"/>
    <w:rsid w:val="00E60E2E"/>
    <w:rsid w:val="00E61CF2"/>
    <w:rsid w:val="00E631E6"/>
    <w:rsid w:val="00E71148"/>
    <w:rsid w:val="00E74AE7"/>
    <w:rsid w:val="00E855BD"/>
    <w:rsid w:val="00E90270"/>
    <w:rsid w:val="00EA3FB1"/>
    <w:rsid w:val="00EA55D2"/>
    <w:rsid w:val="00EA5F69"/>
    <w:rsid w:val="00EC0FD2"/>
    <w:rsid w:val="00EC598F"/>
    <w:rsid w:val="00ED2922"/>
    <w:rsid w:val="00ED41BC"/>
    <w:rsid w:val="00EE338B"/>
    <w:rsid w:val="00EF0189"/>
    <w:rsid w:val="00EF2A84"/>
    <w:rsid w:val="00EF687E"/>
    <w:rsid w:val="00F06DE3"/>
    <w:rsid w:val="00F144EB"/>
    <w:rsid w:val="00F24CAC"/>
    <w:rsid w:val="00F34F62"/>
    <w:rsid w:val="00F409C3"/>
    <w:rsid w:val="00F4285B"/>
    <w:rsid w:val="00F42A96"/>
    <w:rsid w:val="00F74F3E"/>
    <w:rsid w:val="00F80182"/>
    <w:rsid w:val="00F82D13"/>
    <w:rsid w:val="00F82D85"/>
    <w:rsid w:val="00F9481F"/>
    <w:rsid w:val="00F97D87"/>
    <w:rsid w:val="00FA2264"/>
    <w:rsid w:val="00FA458E"/>
    <w:rsid w:val="00FA6817"/>
    <w:rsid w:val="00FB7667"/>
    <w:rsid w:val="00FD4B76"/>
    <w:rsid w:val="00FE1393"/>
    <w:rsid w:val="00FE49B9"/>
    <w:rsid w:val="00FF3248"/>
    <w:rsid w:val="00FF5870"/>
    <w:rsid w:val="00FF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A7"/>
    <w:rPr>
      <w:rFonts w:asciiTheme="minorHAnsi" w:hAnsiTheme="minorHAnsi"/>
      <w:sz w:val="24"/>
      <w:szCs w:val="24"/>
      <w:lang w:val="en-US" w:eastAsia="en-US"/>
    </w:rPr>
  </w:style>
  <w:style w:type="paragraph" w:styleId="Heading1">
    <w:name w:val="heading 1"/>
    <w:basedOn w:val="Normal"/>
    <w:next w:val="Normal"/>
    <w:link w:val="Heading1Char"/>
    <w:qFormat/>
    <w:rsid w:val="00E01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A07"/>
    <w:pPr>
      <w:tabs>
        <w:tab w:val="center" w:pos="4320"/>
        <w:tab w:val="right" w:pos="8640"/>
      </w:tabs>
    </w:pPr>
  </w:style>
  <w:style w:type="paragraph" w:styleId="Footer">
    <w:name w:val="footer"/>
    <w:basedOn w:val="Normal"/>
    <w:link w:val="FooterChar"/>
    <w:uiPriority w:val="99"/>
    <w:rsid w:val="00E04A07"/>
    <w:pPr>
      <w:tabs>
        <w:tab w:val="center" w:pos="4320"/>
        <w:tab w:val="right" w:pos="8640"/>
      </w:tabs>
    </w:pPr>
  </w:style>
  <w:style w:type="paragraph" w:customStyle="1" w:styleId="WPBulletText">
    <w:name w:val="WPBulletText"/>
    <w:basedOn w:val="Normal"/>
    <w:autoRedefine/>
    <w:rsid w:val="008F4B71"/>
    <w:rPr>
      <w:rFonts w:ascii="Gill Sans MT" w:eastAsia="Calibri" w:hAnsi="Gill Sans MT"/>
      <w:b/>
      <w:i/>
      <w:sz w:val="22"/>
      <w:szCs w:val="22"/>
      <w:lang w:val="en-CA"/>
    </w:rPr>
  </w:style>
  <w:style w:type="paragraph" w:customStyle="1" w:styleId="WPMainText">
    <w:name w:val="WPMainText"/>
    <w:link w:val="WPMainTextChar"/>
    <w:autoRedefine/>
    <w:rsid w:val="00E71148"/>
    <w:pPr>
      <w:jc w:val="both"/>
    </w:pPr>
    <w:rPr>
      <w:rFonts w:ascii="Palatino Linotype" w:eastAsia="Calibri" w:hAnsi="Palatino Linotype"/>
      <w:sz w:val="22"/>
      <w:szCs w:val="22"/>
      <w:lang w:eastAsia="en-US"/>
    </w:rPr>
  </w:style>
  <w:style w:type="character" w:customStyle="1" w:styleId="WPMainTextChar">
    <w:name w:val="WPMainText Char"/>
    <w:basedOn w:val="DefaultParagraphFont"/>
    <w:link w:val="WPMainText"/>
    <w:locked/>
    <w:rsid w:val="00E71148"/>
    <w:rPr>
      <w:rFonts w:ascii="Palatino Linotype" w:eastAsia="Calibri" w:hAnsi="Palatino Linotype"/>
      <w:sz w:val="22"/>
      <w:szCs w:val="22"/>
      <w:lang w:val="en-CA" w:eastAsia="en-US" w:bidi="ar-SA"/>
    </w:rPr>
  </w:style>
  <w:style w:type="character" w:styleId="Hyperlink">
    <w:name w:val="Hyperlink"/>
    <w:basedOn w:val="DefaultParagraphFont"/>
    <w:rsid w:val="005E0D3C"/>
    <w:rPr>
      <w:color w:val="0000FF"/>
      <w:u w:val="single"/>
    </w:rPr>
  </w:style>
  <w:style w:type="character" w:styleId="Strong">
    <w:name w:val="Strong"/>
    <w:basedOn w:val="DefaultParagraphFont"/>
    <w:qFormat/>
    <w:rsid w:val="005E0D3C"/>
    <w:rPr>
      <w:b/>
      <w:bCs/>
    </w:rPr>
  </w:style>
  <w:style w:type="paragraph" w:styleId="BalloonText">
    <w:name w:val="Balloon Text"/>
    <w:basedOn w:val="Normal"/>
    <w:link w:val="BalloonTextChar"/>
    <w:rsid w:val="00EA55D2"/>
    <w:rPr>
      <w:rFonts w:ascii="Tahoma" w:hAnsi="Tahoma" w:cs="Tahoma"/>
      <w:sz w:val="16"/>
      <w:szCs w:val="16"/>
    </w:rPr>
  </w:style>
  <w:style w:type="character" w:customStyle="1" w:styleId="BalloonTextChar">
    <w:name w:val="Balloon Text Char"/>
    <w:basedOn w:val="DefaultParagraphFont"/>
    <w:link w:val="BalloonText"/>
    <w:rsid w:val="00EA55D2"/>
    <w:rPr>
      <w:rFonts w:ascii="Tahoma" w:hAnsi="Tahoma" w:cs="Tahoma"/>
      <w:sz w:val="16"/>
      <w:szCs w:val="16"/>
    </w:rPr>
  </w:style>
  <w:style w:type="paragraph" w:styleId="NormalWeb">
    <w:name w:val="Normal (Web)"/>
    <w:basedOn w:val="Normal"/>
    <w:uiPriority w:val="99"/>
    <w:unhideWhenUsed/>
    <w:rsid w:val="00526650"/>
    <w:pPr>
      <w:spacing w:before="100" w:beforeAutospacing="1" w:after="100" w:afterAutospacing="1"/>
    </w:pPr>
    <w:rPr>
      <w:rFonts w:eastAsiaTheme="minorHAnsi"/>
      <w:lang w:val="en-CA" w:eastAsia="en-CA"/>
    </w:rPr>
  </w:style>
  <w:style w:type="character" w:styleId="CommentReference">
    <w:name w:val="annotation reference"/>
    <w:basedOn w:val="DefaultParagraphFont"/>
    <w:rsid w:val="00492203"/>
    <w:rPr>
      <w:sz w:val="16"/>
      <w:szCs w:val="16"/>
    </w:rPr>
  </w:style>
  <w:style w:type="paragraph" w:styleId="CommentText">
    <w:name w:val="annotation text"/>
    <w:basedOn w:val="Normal"/>
    <w:link w:val="CommentTextChar"/>
    <w:rsid w:val="00492203"/>
    <w:rPr>
      <w:sz w:val="20"/>
      <w:szCs w:val="20"/>
    </w:rPr>
  </w:style>
  <w:style w:type="character" w:customStyle="1" w:styleId="CommentTextChar">
    <w:name w:val="Comment Text Char"/>
    <w:basedOn w:val="DefaultParagraphFont"/>
    <w:link w:val="CommentText"/>
    <w:rsid w:val="00492203"/>
    <w:rPr>
      <w:lang w:val="en-US" w:eastAsia="en-US"/>
    </w:rPr>
  </w:style>
  <w:style w:type="paragraph" w:styleId="CommentSubject">
    <w:name w:val="annotation subject"/>
    <w:basedOn w:val="CommentText"/>
    <w:next w:val="CommentText"/>
    <w:link w:val="CommentSubjectChar"/>
    <w:rsid w:val="00492203"/>
    <w:rPr>
      <w:b/>
      <w:bCs/>
    </w:rPr>
  </w:style>
  <w:style w:type="character" w:customStyle="1" w:styleId="CommentSubjectChar">
    <w:name w:val="Comment Subject Char"/>
    <w:basedOn w:val="CommentTextChar"/>
    <w:link w:val="CommentSubject"/>
    <w:rsid w:val="00492203"/>
    <w:rPr>
      <w:b/>
      <w:bCs/>
    </w:rPr>
  </w:style>
  <w:style w:type="character" w:customStyle="1" w:styleId="Heading1Char">
    <w:name w:val="Heading 1 Char"/>
    <w:basedOn w:val="DefaultParagraphFont"/>
    <w:link w:val="Heading1"/>
    <w:rsid w:val="00E013A5"/>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qFormat/>
    <w:rsid w:val="00A349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0"/>
      <w:szCs w:val="52"/>
    </w:rPr>
  </w:style>
  <w:style w:type="character" w:customStyle="1" w:styleId="TitleChar">
    <w:name w:val="Title Char"/>
    <w:basedOn w:val="DefaultParagraphFont"/>
    <w:link w:val="Title"/>
    <w:rsid w:val="00A3493B"/>
    <w:rPr>
      <w:rFonts w:asciiTheme="majorHAnsi" w:eastAsiaTheme="majorEastAsia" w:hAnsiTheme="majorHAnsi" w:cstheme="majorBidi"/>
      <w:color w:val="17365D" w:themeColor="text2" w:themeShade="BF"/>
      <w:spacing w:val="5"/>
      <w:kern w:val="28"/>
      <w:sz w:val="30"/>
      <w:szCs w:val="52"/>
      <w:lang w:val="en-US" w:eastAsia="en-US"/>
    </w:rPr>
  </w:style>
  <w:style w:type="paragraph" w:styleId="NoSpacing">
    <w:name w:val="No Spacing"/>
    <w:uiPriority w:val="1"/>
    <w:qFormat/>
    <w:rsid w:val="00A3493B"/>
    <w:rPr>
      <w:sz w:val="24"/>
      <w:szCs w:val="24"/>
      <w:lang w:val="en-US" w:eastAsia="en-US"/>
    </w:rPr>
  </w:style>
  <w:style w:type="table" w:styleId="TableGrid">
    <w:name w:val="Table Grid"/>
    <w:basedOn w:val="TableNormal"/>
    <w:rsid w:val="00671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F07DC"/>
    <w:rPr>
      <w:rFonts w:asciiTheme="minorHAnsi" w:hAnsiTheme="minorHAnsi"/>
      <w:sz w:val="24"/>
      <w:szCs w:val="24"/>
      <w:lang w:val="en-US" w:eastAsia="en-US"/>
    </w:rPr>
  </w:style>
  <w:style w:type="paragraph" w:styleId="ListParagraph">
    <w:name w:val="List Paragraph"/>
    <w:basedOn w:val="Normal"/>
    <w:uiPriority w:val="34"/>
    <w:qFormat/>
    <w:rsid w:val="00467171"/>
    <w:pPr>
      <w:ind w:left="720"/>
      <w:contextualSpacing/>
    </w:pPr>
  </w:style>
</w:styles>
</file>

<file path=word/webSettings.xml><?xml version="1.0" encoding="utf-8"?>
<w:webSettings xmlns:r="http://schemas.openxmlformats.org/officeDocument/2006/relationships" xmlns:w="http://schemas.openxmlformats.org/wordprocessingml/2006/main">
  <w:divs>
    <w:div w:id="312609275">
      <w:bodyDiv w:val="1"/>
      <w:marLeft w:val="0"/>
      <w:marRight w:val="0"/>
      <w:marTop w:val="0"/>
      <w:marBottom w:val="0"/>
      <w:divBdr>
        <w:top w:val="none" w:sz="0" w:space="0" w:color="auto"/>
        <w:left w:val="none" w:sz="0" w:space="0" w:color="auto"/>
        <w:bottom w:val="none" w:sz="0" w:space="0" w:color="auto"/>
        <w:right w:val="none" w:sz="0" w:space="0" w:color="auto"/>
      </w:divBdr>
    </w:div>
    <w:div w:id="1648123240">
      <w:bodyDiv w:val="1"/>
      <w:marLeft w:val="0"/>
      <w:marRight w:val="0"/>
      <w:marTop w:val="0"/>
      <w:marBottom w:val="0"/>
      <w:divBdr>
        <w:top w:val="none" w:sz="0" w:space="0" w:color="auto"/>
        <w:left w:val="none" w:sz="0" w:space="0" w:color="auto"/>
        <w:bottom w:val="none" w:sz="0" w:space="0" w:color="auto"/>
        <w:right w:val="none" w:sz="0" w:space="0" w:color="auto"/>
      </w:divBdr>
      <w:divsChild>
        <w:div w:id="483355264">
          <w:marLeft w:val="0"/>
          <w:marRight w:val="0"/>
          <w:marTop w:val="0"/>
          <w:marBottom w:val="0"/>
          <w:divBdr>
            <w:top w:val="none" w:sz="0" w:space="0" w:color="auto"/>
            <w:left w:val="none" w:sz="0" w:space="0" w:color="auto"/>
            <w:bottom w:val="none" w:sz="0" w:space="0" w:color="auto"/>
            <w:right w:val="none" w:sz="0" w:space="0" w:color="auto"/>
          </w:divBdr>
        </w:div>
      </w:divsChild>
    </w:div>
    <w:div w:id="1788695058">
      <w:bodyDiv w:val="1"/>
      <w:marLeft w:val="0"/>
      <w:marRight w:val="0"/>
      <w:marTop w:val="0"/>
      <w:marBottom w:val="0"/>
      <w:divBdr>
        <w:top w:val="none" w:sz="0" w:space="0" w:color="auto"/>
        <w:left w:val="none" w:sz="0" w:space="0" w:color="auto"/>
        <w:bottom w:val="none" w:sz="0" w:space="0" w:color="auto"/>
        <w:right w:val="none" w:sz="0" w:space="0" w:color="auto"/>
      </w:divBdr>
    </w:div>
    <w:div w:id="18975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DA46-56AD-4275-B5E6-1FECB6E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9253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Investigative plan:</vt:lpstr>
    </vt:vector>
  </TitlesOfParts>
  <Company>Wind Prospect</Company>
  <LinksUpToDate>false</LinksUpToDate>
  <CharactersWithSpaces>11014</CharactersWithSpaces>
  <SharedDoc>false</SharedDoc>
  <HLinks>
    <vt:vector size="6" baseType="variant">
      <vt:variant>
        <vt:i4>7405614</vt:i4>
      </vt:variant>
      <vt:variant>
        <vt:i4>0</vt:i4>
      </vt:variant>
      <vt:variant>
        <vt:i4>0</vt:i4>
      </vt:variant>
      <vt:variant>
        <vt:i4>5</vt:i4>
      </vt:variant>
      <vt:variant>
        <vt:lpwstr>http://www.windprospect.ca/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plan:</dc:title>
  <dc:creator>mellissa.warren</dc:creator>
  <cp:lastModifiedBy>dawnicho</cp:lastModifiedBy>
  <cp:revision>2</cp:revision>
  <cp:lastPrinted>2011-06-17T02:17:00Z</cp:lastPrinted>
  <dcterms:created xsi:type="dcterms:W3CDTF">2011-06-28T20:35:00Z</dcterms:created>
  <dcterms:modified xsi:type="dcterms:W3CDTF">2011-06-28T20:35:00Z</dcterms:modified>
</cp:coreProperties>
</file>